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0CAAA" w14:textId="77777777" w:rsidR="00F65107" w:rsidRDefault="00F65107" w:rsidP="006B4FFA">
      <w:pPr>
        <w:jc w:val="both"/>
      </w:pPr>
    </w:p>
    <w:p w14:paraId="38FBD990" w14:textId="77777777" w:rsidR="00A8531F" w:rsidRDefault="00A8531F" w:rsidP="006B4FFA">
      <w:pPr>
        <w:jc w:val="both"/>
      </w:pPr>
    </w:p>
    <w:p w14:paraId="30D6422E" w14:textId="77777777" w:rsidR="00A8531F" w:rsidRDefault="00A8531F" w:rsidP="006B4FFA">
      <w:pPr>
        <w:jc w:val="both"/>
      </w:pPr>
    </w:p>
    <w:p w14:paraId="26B5A286" w14:textId="77777777" w:rsidR="00A8531F" w:rsidRDefault="00A8531F" w:rsidP="006B4FFA">
      <w:pPr>
        <w:jc w:val="both"/>
      </w:pPr>
    </w:p>
    <w:p w14:paraId="4AD9C7F4" w14:textId="77777777" w:rsidR="00B655F1" w:rsidRDefault="00B655F1" w:rsidP="00B655F1">
      <w:pPr>
        <w:jc w:val="center"/>
        <w:rPr>
          <w:rFonts w:cs="2  Yekan"/>
          <w:rtl/>
          <w:lang w:bidi="fa-IR"/>
        </w:rPr>
      </w:pPr>
      <w:bookmarkStart w:id="0" w:name="_Hlk173664690"/>
    </w:p>
    <w:p w14:paraId="1FD8B94E" w14:textId="77777777" w:rsidR="00B655F1" w:rsidRPr="00634D6A" w:rsidRDefault="00B655F1" w:rsidP="00B655F1">
      <w:pPr>
        <w:jc w:val="center"/>
        <w:rPr>
          <w:rFonts w:cs="2  Yekan"/>
          <w:lang w:bidi="fa-IR"/>
        </w:rPr>
      </w:pPr>
      <w:r w:rsidRPr="00634D6A">
        <w:rPr>
          <w:rFonts w:cs="2  Yekan"/>
          <w:lang w:bidi="fa-IR"/>
        </w:rPr>
        <w:t xml:space="preserve">Denagene </w:t>
      </w:r>
      <w:proofErr w:type="spellStart"/>
      <w:r w:rsidRPr="00634D6A">
        <w:rPr>
          <w:rFonts w:cs="2  Yekan"/>
          <w:lang w:bidi="fa-IR"/>
        </w:rPr>
        <w:t>Tajhiz</w:t>
      </w:r>
      <w:proofErr w:type="spellEnd"/>
      <w:r w:rsidRPr="00634D6A">
        <w:rPr>
          <w:rFonts w:cs="2  Yekan"/>
          <w:lang w:bidi="fa-IR"/>
        </w:rPr>
        <w:t xml:space="preserve"> Company</w:t>
      </w:r>
    </w:p>
    <w:p w14:paraId="58499AC2" w14:textId="77777777" w:rsidR="00B655F1" w:rsidRDefault="00B655F1" w:rsidP="00B655F1">
      <w:pPr>
        <w:jc w:val="center"/>
        <w:rPr>
          <w:rFonts w:cs="2  Yekan"/>
          <w:lang w:bidi="fa-IR"/>
        </w:rPr>
      </w:pPr>
      <w:r w:rsidRPr="00634D6A">
        <w:rPr>
          <w:rFonts w:cs="2  Yekan"/>
          <w:lang w:bidi="fa-IR"/>
        </w:rPr>
        <w:t>Biotechnology Lab Equipment manufacturer and designer</w:t>
      </w:r>
    </w:p>
    <w:p w14:paraId="1AC2F1E0" w14:textId="77777777" w:rsidR="00B655F1" w:rsidRDefault="00B655F1" w:rsidP="00B655F1">
      <w:pPr>
        <w:jc w:val="center"/>
        <w:rPr>
          <w:rFonts w:cs="2  Yekan"/>
          <w:rtl/>
          <w:lang w:bidi="fa-IR"/>
        </w:rPr>
      </w:pPr>
    </w:p>
    <w:bookmarkEnd w:id="0"/>
    <w:p w14:paraId="43C5D958" w14:textId="77777777" w:rsidR="00B655F1" w:rsidRPr="001D15E7" w:rsidRDefault="00B655F1" w:rsidP="00B655F1">
      <w:pPr>
        <w:jc w:val="both"/>
        <w:rPr>
          <w:rFonts w:asciiTheme="majorBidi" w:hAnsiTheme="majorBidi" w:cstheme="majorBidi"/>
          <w:lang w:bidi="fa-IR"/>
        </w:rPr>
      </w:pPr>
    </w:p>
    <w:p w14:paraId="182FDCF0" w14:textId="77777777" w:rsidR="00B655F1" w:rsidRPr="001D15E7" w:rsidRDefault="00B655F1" w:rsidP="00B655F1">
      <w:pPr>
        <w:jc w:val="both"/>
        <w:rPr>
          <w:rFonts w:asciiTheme="majorBidi" w:hAnsiTheme="majorBidi" w:cstheme="majorBidi"/>
        </w:rPr>
      </w:pPr>
    </w:p>
    <w:p w14:paraId="7F3BA01A" w14:textId="77777777" w:rsidR="00B655F1" w:rsidRPr="001D15E7" w:rsidRDefault="00B655F1" w:rsidP="00B655F1">
      <w:pPr>
        <w:jc w:val="both"/>
        <w:rPr>
          <w:rFonts w:asciiTheme="majorBidi" w:hAnsiTheme="majorBidi" w:cstheme="majorBidi"/>
        </w:rPr>
      </w:pPr>
    </w:p>
    <w:p w14:paraId="2D79F923" w14:textId="77777777" w:rsidR="00B655F1" w:rsidRPr="001D15E7" w:rsidRDefault="00B655F1" w:rsidP="00B655F1">
      <w:pPr>
        <w:jc w:val="both"/>
        <w:rPr>
          <w:rFonts w:asciiTheme="majorBidi" w:hAnsiTheme="majorBidi" w:cstheme="majorBidi"/>
        </w:rPr>
      </w:pPr>
    </w:p>
    <w:p w14:paraId="3B577893" w14:textId="77777777" w:rsidR="00B655F1" w:rsidRDefault="00B655F1" w:rsidP="00B655F1">
      <w:pPr>
        <w:jc w:val="both"/>
        <w:rPr>
          <w:rFonts w:asciiTheme="majorBidi" w:hAnsiTheme="majorBidi" w:cstheme="majorBidi"/>
        </w:rPr>
      </w:pPr>
    </w:p>
    <w:p w14:paraId="25B97679" w14:textId="77777777" w:rsidR="00B655F1" w:rsidRPr="001D15E7" w:rsidRDefault="00B655F1" w:rsidP="00B655F1">
      <w:pPr>
        <w:jc w:val="center"/>
        <w:rPr>
          <w:rFonts w:asciiTheme="majorBidi" w:hAnsiTheme="majorBidi" w:cstheme="majorBidi"/>
        </w:rPr>
      </w:pPr>
    </w:p>
    <w:p w14:paraId="5702B5FB" w14:textId="77777777" w:rsidR="00B655F1" w:rsidRPr="001D15E7" w:rsidRDefault="00B655F1" w:rsidP="00B655F1">
      <w:pPr>
        <w:jc w:val="both"/>
        <w:rPr>
          <w:rFonts w:asciiTheme="majorBidi" w:hAnsiTheme="majorBidi" w:cstheme="majorBidi"/>
        </w:rPr>
      </w:pPr>
    </w:p>
    <w:p w14:paraId="1E0C369A" w14:textId="46014357" w:rsidR="00B655F1" w:rsidRPr="001D15E7" w:rsidRDefault="00B655F1" w:rsidP="00B655F1">
      <w:pPr>
        <w:jc w:val="center"/>
        <w:rPr>
          <w:rFonts w:asciiTheme="majorBidi" w:hAnsiTheme="majorBidi" w:cstheme="majorBidi"/>
        </w:rPr>
      </w:pPr>
      <w:r>
        <w:rPr>
          <w:rFonts w:asciiTheme="majorBidi" w:hAnsiTheme="majorBidi" w:cstheme="majorBidi"/>
        </w:rPr>
        <w:t>Microfuge Vortex</w:t>
      </w:r>
    </w:p>
    <w:p w14:paraId="5757475E" w14:textId="39813BA5" w:rsidR="00A8531F" w:rsidRPr="00B655F1" w:rsidRDefault="00B655F1" w:rsidP="00B655F1">
      <w:pPr>
        <w:jc w:val="center"/>
        <w:rPr>
          <w:rFonts w:asciiTheme="majorBidi" w:hAnsiTheme="majorBidi" w:cstheme="majorBidi"/>
        </w:rPr>
      </w:pPr>
      <w:r w:rsidRPr="001D15E7">
        <w:rPr>
          <w:rFonts w:asciiTheme="majorBidi" w:hAnsiTheme="majorBidi" w:cstheme="majorBidi"/>
        </w:rPr>
        <w:t>User Guide</w:t>
      </w:r>
    </w:p>
    <w:p w14:paraId="4A59B5BE" w14:textId="77777777" w:rsidR="00A8531F" w:rsidRDefault="00A8531F" w:rsidP="006B4FFA">
      <w:pPr>
        <w:jc w:val="both"/>
      </w:pPr>
    </w:p>
    <w:p w14:paraId="6E9E16A2" w14:textId="77777777" w:rsidR="00A8531F" w:rsidRDefault="00A8531F" w:rsidP="006B4FFA">
      <w:pPr>
        <w:jc w:val="both"/>
      </w:pPr>
    </w:p>
    <w:p w14:paraId="0F05FBD2" w14:textId="77777777" w:rsidR="00573B38" w:rsidRDefault="00573B38" w:rsidP="006B4FFA">
      <w:pPr>
        <w:jc w:val="both"/>
      </w:pPr>
    </w:p>
    <w:p w14:paraId="739A6015" w14:textId="77777777" w:rsidR="00573B38" w:rsidRDefault="00573B38" w:rsidP="006B4FFA">
      <w:pPr>
        <w:jc w:val="both"/>
      </w:pPr>
    </w:p>
    <w:p w14:paraId="0464F9B2" w14:textId="77777777" w:rsidR="00573B38" w:rsidRDefault="00573B38" w:rsidP="006B4FFA">
      <w:pPr>
        <w:jc w:val="both"/>
      </w:pPr>
    </w:p>
    <w:p w14:paraId="30CBE314" w14:textId="77777777" w:rsidR="00573B38" w:rsidRDefault="00573B38" w:rsidP="006B4FFA">
      <w:pPr>
        <w:jc w:val="both"/>
      </w:pPr>
    </w:p>
    <w:p w14:paraId="18D33FB3" w14:textId="77777777" w:rsidR="00573B38" w:rsidRDefault="00573B38" w:rsidP="006B4FFA">
      <w:pPr>
        <w:jc w:val="both"/>
      </w:pPr>
    </w:p>
    <w:p w14:paraId="7B3F69CD" w14:textId="77777777" w:rsidR="00573B38" w:rsidRDefault="00573B38" w:rsidP="006B4FFA">
      <w:pPr>
        <w:jc w:val="both"/>
      </w:pPr>
    </w:p>
    <w:p w14:paraId="4ACACB04" w14:textId="77777777" w:rsidR="00573B38" w:rsidRDefault="00573B38" w:rsidP="006B4FFA">
      <w:pPr>
        <w:jc w:val="both"/>
      </w:pPr>
    </w:p>
    <w:p w14:paraId="60DB47DF" w14:textId="77777777" w:rsidR="00573B38" w:rsidRDefault="00573B38" w:rsidP="006B4FFA">
      <w:pPr>
        <w:jc w:val="both"/>
      </w:pPr>
    </w:p>
    <w:p w14:paraId="576113AC" w14:textId="77777777" w:rsidR="00573B38" w:rsidRDefault="00573B38" w:rsidP="006B4FFA">
      <w:pPr>
        <w:jc w:val="both"/>
      </w:pPr>
    </w:p>
    <w:p w14:paraId="423C8946" w14:textId="77777777" w:rsidR="00573B38" w:rsidRDefault="00573B38" w:rsidP="006B4FFA">
      <w:pPr>
        <w:jc w:val="both"/>
      </w:pPr>
    </w:p>
    <w:p w14:paraId="795E5589" w14:textId="77777777" w:rsidR="008D40D5" w:rsidRDefault="008D40D5" w:rsidP="008D40D5">
      <w:pPr>
        <w:rPr>
          <w:rtl/>
        </w:rPr>
      </w:pPr>
    </w:p>
    <w:p w14:paraId="330467A0" w14:textId="77777777" w:rsidR="008D40D5" w:rsidRDefault="008D40D5" w:rsidP="008D40D5">
      <w:pPr>
        <w:jc w:val="both"/>
      </w:pPr>
      <w:r>
        <w:t xml:space="preserve">Thanks for choosing The Denagene </w:t>
      </w:r>
      <w:proofErr w:type="spellStart"/>
      <w:r>
        <w:t>Tajhiz</w:t>
      </w:r>
      <w:proofErr w:type="spellEnd"/>
      <w:r>
        <w:t xml:space="preserve"> Company’s </w:t>
      </w:r>
      <w:r w:rsidRPr="00044E7C">
        <w:t>Real-Time Electrophoresis</w:t>
      </w:r>
      <w:r>
        <w:t>. This operation manual describes the function of the instrument. To ensure you can correctly operate the instrument, please read the manual carefully before using it. Please keep this manual properly for later use if you encounter any difficulty. The first time opening the packing, please check the instrument and appendix with the packing list. If anything does not match the packing list, don't hesitate to get in touch with us.</w:t>
      </w:r>
    </w:p>
    <w:p w14:paraId="4B082C88" w14:textId="77777777" w:rsidR="008D40D5" w:rsidRDefault="008D40D5" w:rsidP="008D40D5">
      <w:pPr>
        <w:jc w:val="both"/>
      </w:pPr>
      <w:r>
        <w:t>This manual is a valuable resource for all users of our products, whether you are a seasoned professional or just starting your scientific journey. It has been meticulously crafted to ensure that you clearly understand the features, functionality, and proper usage of our laboratory equipment.</w:t>
      </w:r>
    </w:p>
    <w:p w14:paraId="13A13B38" w14:textId="77777777" w:rsidR="008D40D5" w:rsidRDefault="008D40D5" w:rsidP="008D40D5">
      <w:pPr>
        <w:jc w:val="both"/>
      </w:pPr>
      <w:r>
        <w:t>Within these pages, you will find detailed instructions, diagrams, and troubleshooting guides that will assist you in harnessing the full potential of our products. We have taken great care to ensure that the content is organized logically, making it easy for you to navigate through the manual and locate the information you need quickly.</w:t>
      </w:r>
    </w:p>
    <w:p w14:paraId="2B6996B5" w14:textId="77777777" w:rsidR="008D40D5" w:rsidRDefault="008D40D5" w:rsidP="008D40D5">
      <w:pPr>
        <w:jc w:val="both"/>
      </w:pPr>
      <w:r>
        <w:t>Moreover, this manual is a living document that reflects our ongoing commitment to excellence. As we continue to develop and improve our product offerings, we will provide updates and revisions to this manual to ensure that you always have the most up-to-date information at your fingertips.</w:t>
      </w:r>
    </w:p>
    <w:p w14:paraId="0CC75C8C" w14:textId="77777777" w:rsidR="008D40D5" w:rsidRDefault="008D40D5" w:rsidP="008D40D5">
      <w:pPr>
        <w:jc w:val="both"/>
        <w:rPr>
          <w:rtl/>
        </w:rPr>
      </w:pPr>
      <w:r>
        <w:t xml:space="preserve">Reproduction in any form, whether print or electronic, without written permission from Denagene </w:t>
      </w:r>
      <w:proofErr w:type="spellStart"/>
      <w:r>
        <w:t>Tajhiz</w:t>
      </w:r>
      <w:proofErr w:type="spellEnd"/>
      <w:r>
        <w:t xml:space="preserve"> Company, is strictly prohibited.</w:t>
      </w:r>
    </w:p>
    <w:p w14:paraId="57362293" w14:textId="77777777" w:rsidR="008D40D5" w:rsidRDefault="008D40D5" w:rsidP="008D40D5">
      <w:pPr>
        <w:rPr>
          <w:rtl/>
        </w:rPr>
      </w:pPr>
    </w:p>
    <w:p w14:paraId="276B0977" w14:textId="77777777" w:rsidR="00573B38" w:rsidRDefault="00573B38" w:rsidP="006B4FFA">
      <w:pPr>
        <w:jc w:val="both"/>
      </w:pPr>
    </w:p>
    <w:p w14:paraId="5D6DDF9C" w14:textId="77777777" w:rsidR="008D40D5" w:rsidRDefault="008D40D5" w:rsidP="006B4FFA">
      <w:pPr>
        <w:jc w:val="both"/>
      </w:pPr>
    </w:p>
    <w:p w14:paraId="3405C2A8" w14:textId="77777777" w:rsidR="008D40D5" w:rsidRDefault="008D40D5" w:rsidP="006B4FFA">
      <w:pPr>
        <w:jc w:val="both"/>
      </w:pPr>
    </w:p>
    <w:p w14:paraId="7203CF4E" w14:textId="77777777" w:rsidR="008D40D5" w:rsidRDefault="008D40D5" w:rsidP="006B4FFA">
      <w:pPr>
        <w:jc w:val="both"/>
      </w:pPr>
    </w:p>
    <w:p w14:paraId="5FEADAD5" w14:textId="77777777" w:rsidR="008D40D5" w:rsidRDefault="008D40D5" w:rsidP="006B4FFA">
      <w:pPr>
        <w:jc w:val="both"/>
      </w:pPr>
    </w:p>
    <w:p w14:paraId="781ECED0" w14:textId="77777777" w:rsidR="008D40D5" w:rsidRDefault="008D40D5" w:rsidP="006B4FFA">
      <w:pPr>
        <w:jc w:val="both"/>
      </w:pPr>
    </w:p>
    <w:p w14:paraId="49CC234A" w14:textId="77777777" w:rsidR="008D40D5" w:rsidRDefault="008D40D5" w:rsidP="006B4FFA">
      <w:pPr>
        <w:jc w:val="both"/>
      </w:pPr>
    </w:p>
    <w:p w14:paraId="471A390A" w14:textId="77777777" w:rsidR="008D40D5" w:rsidRDefault="008D40D5" w:rsidP="006B4FFA">
      <w:pPr>
        <w:jc w:val="both"/>
      </w:pPr>
    </w:p>
    <w:p w14:paraId="4767E76E" w14:textId="77777777" w:rsidR="008D40D5" w:rsidRDefault="008D40D5" w:rsidP="006B4FFA">
      <w:pPr>
        <w:jc w:val="both"/>
      </w:pPr>
    </w:p>
    <w:p w14:paraId="6F7F5F68" w14:textId="77777777" w:rsidR="008D40D5" w:rsidRDefault="008D40D5" w:rsidP="006B4FFA">
      <w:pPr>
        <w:jc w:val="both"/>
      </w:pPr>
    </w:p>
    <w:p w14:paraId="28448862" w14:textId="77777777" w:rsidR="008D40D5" w:rsidRDefault="008D40D5" w:rsidP="006B4FFA">
      <w:pPr>
        <w:jc w:val="both"/>
      </w:pPr>
    </w:p>
    <w:p w14:paraId="336CEA1E" w14:textId="77777777" w:rsidR="008D40D5" w:rsidRDefault="008D40D5" w:rsidP="006B4FFA">
      <w:pPr>
        <w:jc w:val="both"/>
      </w:pPr>
    </w:p>
    <w:p w14:paraId="63AEEC1D" w14:textId="77777777" w:rsidR="008D40D5" w:rsidRDefault="008D40D5" w:rsidP="006B4FFA">
      <w:pPr>
        <w:jc w:val="both"/>
      </w:pPr>
    </w:p>
    <w:p w14:paraId="7D3F492D" w14:textId="77777777" w:rsidR="008D40D5" w:rsidRDefault="008D40D5" w:rsidP="006B4FFA">
      <w:pPr>
        <w:jc w:val="both"/>
      </w:pPr>
    </w:p>
    <w:p w14:paraId="67A9B7DD" w14:textId="77777777" w:rsidR="008D40D5" w:rsidRDefault="008D40D5" w:rsidP="006B4FFA">
      <w:pPr>
        <w:jc w:val="both"/>
      </w:pPr>
    </w:p>
    <w:p w14:paraId="07B3DB82" w14:textId="77777777" w:rsidR="008D40D5" w:rsidRDefault="008D40D5" w:rsidP="006B4FFA">
      <w:pPr>
        <w:jc w:val="both"/>
      </w:pPr>
    </w:p>
    <w:p w14:paraId="74C688C0" w14:textId="77777777" w:rsidR="008D40D5" w:rsidRDefault="008D40D5" w:rsidP="006B4FFA">
      <w:pPr>
        <w:jc w:val="both"/>
      </w:pPr>
    </w:p>
    <w:p w14:paraId="67E76FBF" w14:textId="77777777" w:rsidR="008D40D5" w:rsidRDefault="008D40D5" w:rsidP="006B4FFA">
      <w:pPr>
        <w:jc w:val="both"/>
      </w:pPr>
    </w:p>
    <w:p w14:paraId="4E16189F" w14:textId="77777777" w:rsidR="00573B38" w:rsidRDefault="00573B38" w:rsidP="006B4FFA">
      <w:pPr>
        <w:jc w:val="both"/>
      </w:pPr>
    </w:p>
    <w:p w14:paraId="40BB6261" w14:textId="77777777" w:rsidR="00573B38" w:rsidRDefault="00573B38" w:rsidP="006B4FFA">
      <w:pPr>
        <w:jc w:val="both"/>
      </w:pPr>
    </w:p>
    <w:p w14:paraId="6FB9FC2D" w14:textId="77777777" w:rsidR="00573B38" w:rsidRDefault="00573B38" w:rsidP="006B4FFA">
      <w:pPr>
        <w:jc w:val="both"/>
        <w:rPr>
          <w:lang w:bidi="fa-IR"/>
        </w:rPr>
      </w:pPr>
      <w:r>
        <w:rPr>
          <w:lang w:bidi="fa-IR"/>
        </w:rPr>
        <w:t xml:space="preserve">Content </w:t>
      </w:r>
    </w:p>
    <w:p w14:paraId="4D0C3B7D" w14:textId="77777777" w:rsidR="00573B38" w:rsidRDefault="00573B38" w:rsidP="006B4FFA">
      <w:pPr>
        <w:jc w:val="both"/>
        <w:rPr>
          <w:lang w:bidi="fa-IR"/>
        </w:rPr>
      </w:pPr>
      <w:r>
        <w:rPr>
          <w:lang w:bidi="fa-IR"/>
        </w:rPr>
        <w:t xml:space="preserve">Introduction </w:t>
      </w:r>
    </w:p>
    <w:p w14:paraId="69530F09" w14:textId="77777777" w:rsidR="00573B38" w:rsidRDefault="00573B38" w:rsidP="006B4FFA">
      <w:pPr>
        <w:jc w:val="both"/>
        <w:rPr>
          <w:lang w:bidi="fa-IR"/>
        </w:rPr>
      </w:pPr>
      <w:r>
        <w:rPr>
          <w:lang w:bidi="fa-IR"/>
        </w:rPr>
        <w:t xml:space="preserve">Application </w:t>
      </w:r>
    </w:p>
    <w:p w14:paraId="3274CA4D" w14:textId="77777777" w:rsidR="00573B38" w:rsidRDefault="00573B38" w:rsidP="006B4FFA">
      <w:pPr>
        <w:jc w:val="both"/>
        <w:rPr>
          <w:lang w:bidi="fa-IR"/>
        </w:rPr>
      </w:pPr>
      <w:r>
        <w:rPr>
          <w:lang w:bidi="fa-IR"/>
        </w:rPr>
        <w:t xml:space="preserve">Safety Instruction </w:t>
      </w:r>
    </w:p>
    <w:p w14:paraId="4581B361" w14:textId="77777777" w:rsidR="00573B38" w:rsidRDefault="00D401F9" w:rsidP="006B4FFA">
      <w:pPr>
        <w:jc w:val="both"/>
        <w:rPr>
          <w:lang w:bidi="fa-IR"/>
        </w:rPr>
      </w:pPr>
      <w:r w:rsidRPr="00D401F9">
        <w:rPr>
          <w:lang w:bidi="fa-IR"/>
        </w:rPr>
        <w:t>How to Use</w:t>
      </w:r>
    </w:p>
    <w:p w14:paraId="1BCB6E0D" w14:textId="77777777" w:rsidR="00D401F9" w:rsidRDefault="00D401F9" w:rsidP="006B4FFA">
      <w:pPr>
        <w:jc w:val="both"/>
        <w:rPr>
          <w:lang w:bidi="fa-IR"/>
        </w:rPr>
      </w:pPr>
      <w:r>
        <w:rPr>
          <w:lang w:bidi="fa-IR"/>
        </w:rPr>
        <w:t xml:space="preserve">Technical Specification </w:t>
      </w:r>
    </w:p>
    <w:p w14:paraId="6649AC15" w14:textId="77777777" w:rsidR="00D401F9" w:rsidRDefault="00D401F9" w:rsidP="006B4FFA">
      <w:pPr>
        <w:jc w:val="both"/>
        <w:rPr>
          <w:lang w:bidi="fa-IR"/>
        </w:rPr>
      </w:pPr>
      <w:r>
        <w:rPr>
          <w:lang w:bidi="fa-IR"/>
        </w:rPr>
        <w:t>Maintenance</w:t>
      </w:r>
    </w:p>
    <w:p w14:paraId="335B86C8" w14:textId="77777777" w:rsidR="000B530D" w:rsidRDefault="000B530D" w:rsidP="006B4FFA">
      <w:pPr>
        <w:jc w:val="both"/>
        <w:rPr>
          <w:lang w:bidi="fa-IR"/>
        </w:rPr>
      </w:pPr>
      <w:r>
        <w:rPr>
          <w:lang w:bidi="fa-IR"/>
        </w:rPr>
        <w:t xml:space="preserve">Warranty and After sales service </w:t>
      </w:r>
    </w:p>
    <w:p w14:paraId="594E88BC" w14:textId="77777777" w:rsidR="006B4FFA" w:rsidRDefault="006B4FFA" w:rsidP="006B4FFA">
      <w:pPr>
        <w:jc w:val="both"/>
        <w:rPr>
          <w:lang w:bidi="fa-IR"/>
        </w:rPr>
      </w:pPr>
    </w:p>
    <w:p w14:paraId="34E08B95" w14:textId="77777777" w:rsidR="006B4FFA" w:rsidRDefault="006B4FFA" w:rsidP="006B4FFA">
      <w:pPr>
        <w:jc w:val="both"/>
        <w:rPr>
          <w:lang w:bidi="fa-IR"/>
        </w:rPr>
      </w:pPr>
    </w:p>
    <w:p w14:paraId="2557B390" w14:textId="77777777" w:rsidR="006B4FFA" w:rsidRDefault="006B4FFA" w:rsidP="006B4FFA">
      <w:pPr>
        <w:jc w:val="both"/>
        <w:rPr>
          <w:lang w:bidi="fa-IR"/>
        </w:rPr>
      </w:pPr>
    </w:p>
    <w:p w14:paraId="30906C63" w14:textId="77777777" w:rsidR="006B4FFA" w:rsidRDefault="006B4FFA" w:rsidP="006B4FFA">
      <w:pPr>
        <w:jc w:val="both"/>
        <w:rPr>
          <w:lang w:bidi="fa-IR"/>
        </w:rPr>
      </w:pPr>
    </w:p>
    <w:p w14:paraId="2F9AD9F9" w14:textId="77777777" w:rsidR="006B4FFA" w:rsidRDefault="006B4FFA" w:rsidP="006B4FFA">
      <w:pPr>
        <w:jc w:val="both"/>
        <w:rPr>
          <w:lang w:bidi="fa-IR"/>
        </w:rPr>
      </w:pPr>
    </w:p>
    <w:p w14:paraId="62A8EE49" w14:textId="77777777" w:rsidR="006B4FFA" w:rsidRDefault="006B4FFA" w:rsidP="006B4FFA">
      <w:pPr>
        <w:jc w:val="both"/>
        <w:rPr>
          <w:lang w:bidi="fa-IR"/>
        </w:rPr>
      </w:pPr>
    </w:p>
    <w:p w14:paraId="05CA55A4" w14:textId="77777777" w:rsidR="006B4FFA" w:rsidRDefault="006B4FFA" w:rsidP="006B4FFA">
      <w:pPr>
        <w:jc w:val="both"/>
        <w:rPr>
          <w:lang w:bidi="fa-IR"/>
        </w:rPr>
      </w:pPr>
    </w:p>
    <w:p w14:paraId="3E44365E" w14:textId="77777777" w:rsidR="006B4FFA" w:rsidRDefault="006B4FFA" w:rsidP="006B4FFA">
      <w:pPr>
        <w:jc w:val="both"/>
        <w:rPr>
          <w:lang w:bidi="fa-IR"/>
        </w:rPr>
      </w:pPr>
    </w:p>
    <w:p w14:paraId="59E67A0E" w14:textId="77777777" w:rsidR="006B4FFA" w:rsidRDefault="006B4FFA" w:rsidP="006B4FFA">
      <w:pPr>
        <w:jc w:val="both"/>
        <w:rPr>
          <w:lang w:bidi="fa-IR"/>
        </w:rPr>
      </w:pPr>
    </w:p>
    <w:p w14:paraId="79E556FB" w14:textId="77777777" w:rsidR="006B4FFA" w:rsidRDefault="006B4FFA" w:rsidP="006B4FFA">
      <w:pPr>
        <w:jc w:val="both"/>
        <w:rPr>
          <w:lang w:bidi="fa-IR"/>
        </w:rPr>
      </w:pPr>
    </w:p>
    <w:p w14:paraId="6E46CA99" w14:textId="77777777" w:rsidR="006B4FFA" w:rsidRDefault="006B4FFA" w:rsidP="006B4FFA">
      <w:pPr>
        <w:jc w:val="both"/>
        <w:rPr>
          <w:lang w:bidi="fa-IR"/>
        </w:rPr>
      </w:pPr>
    </w:p>
    <w:p w14:paraId="2CD753AF" w14:textId="77777777" w:rsidR="006B4FFA" w:rsidRDefault="006B4FFA" w:rsidP="006B4FFA">
      <w:pPr>
        <w:jc w:val="both"/>
        <w:rPr>
          <w:lang w:bidi="fa-IR"/>
        </w:rPr>
      </w:pPr>
    </w:p>
    <w:p w14:paraId="5BB21D0A" w14:textId="77777777" w:rsidR="006B4FFA" w:rsidRDefault="006B4FFA" w:rsidP="006B4FFA">
      <w:pPr>
        <w:jc w:val="both"/>
        <w:rPr>
          <w:lang w:bidi="fa-IR"/>
        </w:rPr>
      </w:pPr>
    </w:p>
    <w:p w14:paraId="5B10F8E0" w14:textId="77777777" w:rsidR="006B4FFA" w:rsidRDefault="006B4FFA" w:rsidP="006B4FFA">
      <w:pPr>
        <w:jc w:val="both"/>
        <w:rPr>
          <w:lang w:bidi="fa-IR"/>
        </w:rPr>
      </w:pPr>
    </w:p>
    <w:p w14:paraId="352886F6" w14:textId="77777777" w:rsidR="006B4FFA" w:rsidRDefault="006B4FFA" w:rsidP="006B4FFA">
      <w:pPr>
        <w:jc w:val="both"/>
        <w:rPr>
          <w:lang w:bidi="fa-IR"/>
        </w:rPr>
      </w:pPr>
    </w:p>
    <w:p w14:paraId="6ECE602F" w14:textId="77777777" w:rsidR="006B4FFA" w:rsidRDefault="006B4FFA" w:rsidP="006B4FFA">
      <w:pPr>
        <w:jc w:val="both"/>
        <w:rPr>
          <w:lang w:bidi="fa-IR"/>
        </w:rPr>
      </w:pPr>
    </w:p>
    <w:p w14:paraId="7E4CDC96" w14:textId="77777777" w:rsidR="006B4FFA" w:rsidRDefault="006B4FFA" w:rsidP="006B4FFA">
      <w:pPr>
        <w:jc w:val="both"/>
        <w:rPr>
          <w:lang w:bidi="fa-IR"/>
        </w:rPr>
      </w:pPr>
    </w:p>
    <w:p w14:paraId="65B76DE3" w14:textId="77777777" w:rsidR="006B4FFA" w:rsidRDefault="006B4FFA" w:rsidP="006B4FFA">
      <w:pPr>
        <w:jc w:val="both"/>
        <w:rPr>
          <w:lang w:bidi="fa-IR"/>
        </w:rPr>
      </w:pPr>
    </w:p>
    <w:p w14:paraId="48FF7FFF" w14:textId="77777777" w:rsidR="006B4FFA" w:rsidRDefault="006B4FFA" w:rsidP="006B4FFA">
      <w:pPr>
        <w:jc w:val="both"/>
        <w:rPr>
          <w:lang w:bidi="fa-IR"/>
        </w:rPr>
      </w:pPr>
    </w:p>
    <w:p w14:paraId="0CDE2E02" w14:textId="77777777" w:rsidR="006B4FFA" w:rsidRDefault="006B4FFA" w:rsidP="006B4FFA">
      <w:pPr>
        <w:jc w:val="both"/>
        <w:rPr>
          <w:lang w:bidi="fa-IR"/>
        </w:rPr>
      </w:pPr>
    </w:p>
    <w:p w14:paraId="4297CA6F" w14:textId="77777777" w:rsidR="006B4FFA" w:rsidRDefault="006B4FFA" w:rsidP="006B4FFA">
      <w:pPr>
        <w:jc w:val="both"/>
        <w:rPr>
          <w:lang w:bidi="fa-IR"/>
        </w:rPr>
      </w:pPr>
    </w:p>
    <w:p w14:paraId="543DD7A5" w14:textId="77777777" w:rsidR="006B4FFA" w:rsidRPr="006B4FFA" w:rsidRDefault="006B4FFA" w:rsidP="006B4FFA">
      <w:pPr>
        <w:jc w:val="both"/>
        <w:rPr>
          <w:b/>
          <w:bCs/>
          <w:lang w:bidi="fa-IR"/>
        </w:rPr>
      </w:pPr>
      <w:r w:rsidRPr="006B4FFA">
        <w:rPr>
          <w:b/>
          <w:bCs/>
          <w:lang w:bidi="fa-IR"/>
        </w:rPr>
        <w:t>Introduction</w:t>
      </w:r>
    </w:p>
    <w:p w14:paraId="6386AE2E" w14:textId="77777777" w:rsidR="006B4FFA" w:rsidRDefault="006B4FFA" w:rsidP="006B4FFA">
      <w:pPr>
        <w:jc w:val="both"/>
        <w:rPr>
          <w:lang w:bidi="fa-IR"/>
        </w:rPr>
      </w:pPr>
      <w:r>
        <w:rPr>
          <w:lang w:bidi="fa-IR"/>
        </w:rPr>
        <w:t xml:space="preserve">The Microfuge-Vortex (Spin-Vortex) apparatus is one of the centrifuge family devices capable of performing </w:t>
      </w:r>
      <w:proofErr w:type="spellStart"/>
      <w:r>
        <w:rPr>
          <w:lang w:bidi="fa-IR"/>
        </w:rPr>
        <w:t>vortexing</w:t>
      </w:r>
      <w:proofErr w:type="spellEnd"/>
      <w:r>
        <w:rPr>
          <w:lang w:bidi="fa-IR"/>
        </w:rPr>
        <w:t xml:space="preserve"> and centrifugation operations on samples. Its primary application is in cellular and molecular laboratories, where the Microfuge-Vortex serves as a fundamental apparatus in these laboratories.</w:t>
      </w:r>
    </w:p>
    <w:p w14:paraId="40D5015D" w14:textId="77777777" w:rsidR="006B4FFA" w:rsidRDefault="006B4FFA" w:rsidP="006B4FFA">
      <w:pPr>
        <w:jc w:val="both"/>
        <w:rPr>
          <w:lang w:bidi="fa-IR"/>
        </w:rPr>
      </w:pPr>
    </w:p>
    <w:p w14:paraId="46A220C8" w14:textId="77777777" w:rsidR="006B4FFA" w:rsidRPr="00D8699E" w:rsidRDefault="006B4FFA" w:rsidP="006B4FFA">
      <w:pPr>
        <w:jc w:val="both"/>
        <w:rPr>
          <w:b/>
          <w:bCs/>
          <w:lang w:bidi="fa-IR"/>
        </w:rPr>
      </w:pPr>
      <w:r w:rsidRPr="00D8699E">
        <w:rPr>
          <w:b/>
          <w:bCs/>
          <w:lang w:bidi="fa-IR"/>
        </w:rPr>
        <w:t>Applications</w:t>
      </w:r>
    </w:p>
    <w:p w14:paraId="54D063E2" w14:textId="77777777" w:rsidR="006B4FFA" w:rsidRDefault="006B4FFA" w:rsidP="006B4FFA">
      <w:pPr>
        <w:jc w:val="both"/>
        <w:rPr>
          <w:lang w:bidi="fa-IR"/>
        </w:rPr>
      </w:pPr>
      <w:r>
        <w:rPr>
          <w:lang w:bidi="fa-IR"/>
        </w:rPr>
        <w:t>The Microfuge-Vortex finds applications in various biological science fields, including but not limited to:</w:t>
      </w:r>
    </w:p>
    <w:p w14:paraId="5994BD07" w14:textId="77777777" w:rsidR="006B4FFA" w:rsidRDefault="006B4FFA" w:rsidP="006B4FFA">
      <w:pPr>
        <w:jc w:val="both"/>
        <w:rPr>
          <w:lang w:bidi="fa-IR"/>
        </w:rPr>
      </w:pPr>
      <w:r>
        <w:rPr>
          <w:lang w:bidi="fa-IR"/>
        </w:rPr>
        <w:t>• Molecular Biology</w:t>
      </w:r>
    </w:p>
    <w:p w14:paraId="3A248CE9" w14:textId="77777777" w:rsidR="006B4FFA" w:rsidRDefault="006B4FFA" w:rsidP="006B4FFA">
      <w:pPr>
        <w:jc w:val="both"/>
        <w:rPr>
          <w:lang w:bidi="fa-IR"/>
        </w:rPr>
      </w:pPr>
      <w:r>
        <w:rPr>
          <w:lang w:bidi="fa-IR"/>
        </w:rPr>
        <w:t>• Cell culture</w:t>
      </w:r>
    </w:p>
    <w:p w14:paraId="273E988B" w14:textId="77777777" w:rsidR="006B4FFA" w:rsidRDefault="006B4FFA" w:rsidP="006B4FFA">
      <w:pPr>
        <w:jc w:val="both"/>
        <w:rPr>
          <w:lang w:bidi="fa-IR"/>
        </w:rPr>
      </w:pPr>
      <w:r>
        <w:rPr>
          <w:lang w:bidi="fa-IR"/>
        </w:rPr>
        <w:t>• PCR (Polymerase Chain Reaction)</w:t>
      </w:r>
    </w:p>
    <w:p w14:paraId="276ED46E" w14:textId="77777777" w:rsidR="006B4FFA" w:rsidRDefault="006B4FFA" w:rsidP="006B4FFA">
      <w:pPr>
        <w:jc w:val="both"/>
        <w:rPr>
          <w:lang w:bidi="fa-IR"/>
        </w:rPr>
      </w:pPr>
      <w:r>
        <w:rPr>
          <w:lang w:bidi="fa-IR"/>
        </w:rPr>
        <w:t>• Genetic Engineering Research</w:t>
      </w:r>
    </w:p>
    <w:p w14:paraId="61D841D2" w14:textId="77777777" w:rsidR="006B4FFA" w:rsidRDefault="006B4FFA" w:rsidP="006B4FFA">
      <w:pPr>
        <w:jc w:val="both"/>
        <w:rPr>
          <w:lang w:bidi="fa-IR"/>
        </w:rPr>
      </w:pPr>
      <w:r>
        <w:rPr>
          <w:lang w:bidi="fa-IR"/>
        </w:rPr>
        <w:t>• Nanobiotechnology</w:t>
      </w:r>
    </w:p>
    <w:p w14:paraId="40620887" w14:textId="77777777" w:rsidR="006B4FFA" w:rsidRDefault="006B4FFA" w:rsidP="006B4FFA">
      <w:pPr>
        <w:jc w:val="both"/>
        <w:rPr>
          <w:lang w:bidi="fa-IR"/>
        </w:rPr>
      </w:pPr>
      <w:r>
        <w:rPr>
          <w:lang w:bidi="fa-IR"/>
        </w:rPr>
        <w:t>• Microbiology</w:t>
      </w:r>
    </w:p>
    <w:p w14:paraId="0BEE0AD2" w14:textId="77777777" w:rsidR="006B4FFA" w:rsidRDefault="006B4FFA" w:rsidP="00BE3BFD">
      <w:pPr>
        <w:jc w:val="both"/>
        <w:rPr>
          <w:lang w:bidi="fa-IR"/>
        </w:rPr>
      </w:pPr>
      <w:r>
        <w:rPr>
          <w:lang w:bidi="fa-IR"/>
        </w:rPr>
        <w:t>• Chemical Engineering</w:t>
      </w:r>
    </w:p>
    <w:p w14:paraId="4621E3B8" w14:textId="77777777" w:rsidR="006B4FFA" w:rsidRDefault="006B4FFA" w:rsidP="006B4FFA">
      <w:pPr>
        <w:jc w:val="both"/>
        <w:rPr>
          <w:lang w:bidi="fa-IR"/>
        </w:rPr>
      </w:pPr>
      <w:r>
        <w:rPr>
          <w:lang w:bidi="fa-IR"/>
        </w:rPr>
        <w:t>The Microfuge-Vortex, man</w:t>
      </w:r>
      <w:r w:rsidR="00D8699E">
        <w:rPr>
          <w:lang w:bidi="fa-IR"/>
        </w:rPr>
        <w:t xml:space="preserve">ufactured by Denagene </w:t>
      </w:r>
      <w:proofErr w:type="spellStart"/>
      <w:r w:rsidR="00D8699E">
        <w:rPr>
          <w:lang w:bidi="fa-IR"/>
        </w:rPr>
        <w:t>Tajhiz</w:t>
      </w:r>
      <w:proofErr w:type="spellEnd"/>
      <w:r w:rsidR="00D8699E">
        <w:rPr>
          <w:lang w:bidi="fa-IR"/>
        </w:rPr>
        <w:t xml:space="preserve"> Company</w:t>
      </w:r>
      <w:r>
        <w:rPr>
          <w:lang w:bidi="fa-IR"/>
        </w:rPr>
        <w:t>, stands out as an excellent choice for users and researchers due to its user-friendly design, affordable pricing, and excellent warranty and after-sales service conditions.</w:t>
      </w:r>
    </w:p>
    <w:p w14:paraId="1D29E3FC" w14:textId="77777777" w:rsidR="00D8699E" w:rsidRDefault="00D8699E" w:rsidP="006B4FFA">
      <w:pPr>
        <w:jc w:val="both"/>
        <w:rPr>
          <w:lang w:bidi="fa-IR"/>
        </w:rPr>
      </w:pPr>
    </w:p>
    <w:p w14:paraId="6B1C01BA" w14:textId="77777777" w:rsidR="00BE3BFD" w:rsidRDefault="005102B0" w:rsidP="00BE3BFD">
      <w:pPr>
        <w:rPr>
          <w:lang w:bidi="fa-IR"/>
        </w:rPr>
      </w:pPr>
      <w:r w:rsidRPr="005102B0">
        <w:rPr>
          <w:b/>
          <w:bCs/>
          <w:lang w:bidi="fa-IR"/>
        </w:rPr>
        <w:t>Safety Instruction</w:t>
      </w:r>
      <w:r w:rsidR="00BE3BFD">
        <w:rPr>
          <w:lang w:bidi="fa-IR"/>
        </w:rPr>
        <w:t>:</w:t>
      </w:r>
    </w:p>
    <w:p w14:paraId="2C7B2BD7" w14:textId="77777777" w:rsidR="001E4FE1" w:rsidRPr="003035AD" w:rsidRDefault="001E4FE1" w:rsidP="001E4FE1">
      <w:pPr>
        <w:rPr>
          <w:rFonts w:eastAsia="Calibri" w:cs="2  Yekan"/>
          <w:lang w:bidi="fa-IR"/>
        </w:rPr>
      </w:pPr>
      <w:r>
        <w:rPr>
          <w:rFonts w:eastAsia="Calibri" w:cs="2  Yekan"/>
          <w:lang w:bidi="fa-IR"/>
        </w:rPr>
        <w:t xml:space="preserve">• </w:t>
      </w:r>
      <w:r w:rsidRPr="00D70DE3">
        <w:rPr>
          <w:rFonts w:eastAsia="Calibri" w:cs="2  Yekan"/>
          <w:lang w:bidi="fa-IR"/>
        </w:rPr>
        <w:t>Place the apparatus on a level surface</w:t>
      </w:r>
      <w:r w:rsidRPr="003035AD">
        <w:rPr>
          <w:rFonts w:eastAsia="Calibri" w:cs="2  Yekan"/>
          <w:lang w:bidi="fa-IR"/>
        </w:rPr>
        <w:t>.</w:t>
      </w:r>
    </w:p>
    <w:p w14:paraId="0C4DA6E8" w14:textId="77777777" w:rsidR="0015000C" w:rsidRDefault="00BE3BFD" w:rsidP="0015000C">
      <w:pPr>
        <w:rPr>
          <w:lang w:bidi="fa-IR"/>
        </w:rPr>
      </w:pPr>
      <w:r>
        <w:rPr>
          <w:lang w:bidi="fa-IR"/>
        </w:rPr>
        <w:t>• Securely tighten the screw on the device head.</w:t>
      </w:r>
    </w:p>
    <w:p w14:paraId="1A08D6EB" w14:textId="77777777" w:rsidR="00BE3BFD" w:rsidRDefault="00BE3BFD" w:rsidP="00BE3BFD">
      <w:pPr>
        <w:rPr>
          <w:lang w:bidi="fa-IR"/>
        </w:rPr>
      </w:pPr>
      <w:r>
        <w:rPr>
          <w:lang w:bidi="fa-IR"/>
        </w:rPr>
        <w:t>• Ensure that the sample lids are securely closed before placing them for mixing.</w:t>
      </w:r>
    </w:p>
    <w:p w14:paraId="6029B788" w14:textId="77777777" w:rsidR="00BE3BFD" w:rsidRDefault="0015000C" w:rsidP="00BE3BFD">
      <w:pPr>
        <w:rPr>
          <w:lang w:bidi="fa-IR"/>
        </w:rPr>
      </w:pPr>
      <w:r>
        <w:rPr>
          <w:lang w:bidi="fa-IR"/>
        </w:rPr>
        <w:t>• Do not use the apparatus</w:t>
      </w:r>
      <w:r w:rsidR="00BE3BFD">
        <w:rPr>
          <w:lang w:bidi="fa-IR"/>
        </w:rPr>
        <w:t xml:space="preserve"> in a high-humidity environment.</w:t>
      </w:r>
    </w:p>
    <w:p w14:paraId="3B72C528" w14:textId="77777777" w:rsidR="00BE3BFD" w:rsidRDefault="0015000C" w:rsidP="00BE3BFD">
      <w:pPr>
        <w:rPr>
          <w:lang w:bidi="fa-IR"/>
        </w:rPr>
      </w:pPr>
      <w:r>
        <w:rPr>
          <w:lang w:bidi="fa-IR"/>
        </w:rPr>
        <w:lastRenderedPageBreak/>
        <w:t>• Connect the apparatus</w:t>
      </w:r>
      <w:r w:rsidR="00BE3BFD">
        <w:rPr>
          <w:lang w:bidi="fa-IR"/>
        </w:rPr>
        <w:t xml:space="preserve"> only to a power source with the appropriate voltage.</w:t>
      </w:r>
    </w:p>
    <w:p w14:paraId="3D0266D3" w14:textId="77777777" w:rsidR="00BE3BFD" w:rsidRDefault="0015000C" w:rsidP="00BE3BFD">
      <w:pPr>
        <w:rPr>
          <w:lang w:bidi="fa-IR"/>
        </w:rPr>
      </w:pPr>
      <w:r>
        <w:rPr>
          <w:lang w:bidi="fa-IR"/>
        </w:rPr>
        <w:t xml:space="preserve">• Disconnect the apparatus </w:t>
      </w:r>
      <w:r w:rsidR="00BE3BFD">
        <w:rPr>
          <w:lang w:bidi="fa-IR"/>
        </w:rPr>
        <w:t>from the power source before any movement.</w:t>
      </w:r>
    </w:p>
    <w:p w14:paraId="202F7795" w14:textId="77777777" w:rsidR="00BE3BFD" w:rsidRDefault="0015000C" w:rsidP="00324509">
      <w:pPr>
        <w:rPr>
          <w:lang w:bidi="fa-IR"/>
        </w:rPr>
      </w:pPr>
      <w:r>
        <w:rPr>
          <w:lang w:bidi="fa-IR"/>
        </w:rPr>
        <w:t>• Protect the apparatus</w:t>
      </w:r>
      <w:r w:rsidR="00BE3BFD">
        <w:rPr>
          <w:lang w:bidi="fa-IR"/>
        </w:rPr>
        <w:t xml:space="preserve"> from shaking and falling.</w:t>
      </w:r>
    </w:p>
    <w:p w14:paraId="580B5B2E" w14:textId="77777777" w:rsidR="00BE3BFD" w:rsidRPr="00324509" w:rsidRDefault="00BE3BFD" w:rsidP="00BE3BFD">
      <w:pPr>
        <w:rPr>
          <w:b/>
          <w:bCs/>
          <w:lang w:bidi="fa-IR"/>
        </w:rPr>
      </w:pPr>
      <w:r w:rsidRPr="00324509">
        <w:rPr>
          <w:b/>
          <w:bCs/>
          <w:lang w:bidi="fa-IR"/>
        </w:rPr>
        <w:t>How to Use:</w:t>
      </w:r>
    </w:p>
    <w:p w14:paraId="46B5DB90" w14:textId="77777777" w:rsidR="00BE3BFD" w:rsidRDefault="00BE3BFD" w:rsidP="00BE3BFD">
      <w:pPr>
        <w:rPr>
          <w:lang w:bidi="fa-IR"/>
        </w:rPr>
      </w:pPr>
      <w:r>
        <w:rPr>
          <w:lang w:bidi="fa-IR"/>
        </w:rPr>
        <w:t>1. First, unpack the device.</w:t>
      </w:r>
    </w:p>
    <w:p w14:paraId="49B4F3B6" w14:textId="77777777" w:rsidR="00BE3BFD" w:rsidRDefault="00BE3BFD" w:rsidP="00BE3BFD">
      <w:pPr>
        <w:rPr>
          <w:lang w:bidi="fa-IR"/>
        </w:rPr>
      </w:pPr>
      <w:r>
        <w:rPr>
          <w:lang w:bidi="fa-IR"/>
        </w:rPr>
        <w:t>2. Place the device on a smooth and level surface.</w:t>
      </w:r>
    </w:p>
    <w:p w14:paraId="3DF66323" w14:textId="77777777" w:rsidR="00BE3BFD" w:rsidRDefault="00BE3BFD" w:rsidP="00BE3BFD">
      <w:pPr>
        <w:rPr>
          <w:lang w:bidi="fa-IR"/>
        </w:rPr>
      </w:pPr>
      <w:r>
        <w:rPr>
          <w:lang w:bidi="fa-IR"/>
        </w:rPr>
        <w:t>3. Initially, place the head and the</w:t>
      </w:r>
      <w:r w:rsidR="008C3591">
        <w:rPr>
          <w:lang w:bidi="fa-IR"/>
        </w:rPr>
        <w:t xml:space="preserve">n the white washer on the apparatus </w:t>
      </w:r>
      <w:r>
        <w:rPr>
          <w:lang w:bidi="fa-IR"/>
        </w:rPr>
        <w:t>shaft, and then tightly secure the screw on the head.</w:t>
      </w:r>
    </w:p>
    <w:p w14:paraId="3045FD46" w14:textId="77777777" w:rsidR="00BE3BFD" w:rsidRDefault="00BE3BFD" w:rsidP="00BE3BFD">
      <w:pPr>
        <w:rPr>
          <w:lang w:bidi="fa-IR"/>
        </w:rPr>
      </w:pPr>
      <w:r>
        <w:rPr>
          <w:lang w:bidi="fa-IR"/>
        </w:rPr>
        <w:t>4. Connect the power</w:t>
      </w:r>
      <w:r w:rsidR="008C3591">
        <w:rPr>
          <w:lang w:bidi="fa-IR"/>
        </w:rPr>
        <w:t xml:space="preserve"> cable at the back of the apparatus</w:t>
      </w:r>
      <w:r>
        <w:rPr>
          <w:lang w:bidi="fa-IR"/>
        </w:rPr>
        <w:t xml:space="preserve"> to a power source.</w:t>
      </w:r>
    </w:p>
    <w:p w14:paraId="08122BD1" w14:textId="77777777" w:rsidR="00D8699E" w:rsidRDefault="00BE3BFD" w:rsidP="00BE3BFD">
      <w:pPr>
        <w:jc w:val="both"/>
        <w:rPr>
          <w:rtl/>
          <w:lang w:bidi="fa-IR"/>
        </w:rPr>
      </w:pPr>
      <w:r>
        <w:rPr>
          <w:lang w:bidi="fa-IR"/>
        </w:rPr>
        <w:t>5. By pressing</w:t>
      </w:r>
      <w:r w:rsidR="00806DB3">
        <w:rPr>
          <w:lang w:bidi="fa-IR"/>
        </w:rPr>
        <w:t xml:space="preserve"> the power button, the apparatus</w:t>
      </w:r>
      <w:r>
        <w:rPr>
          <w:lang w:bidi="fa-IR"/>
        </w:rPr>
        <w:t xml:space="preserve"> will be ready to use. Now, you can perform microfuge action by pressing the continuous button and vortex action by pressing the skip button.</w:t>
      </w:r>
    </w:p>
    <w:p w14:paraId="3C27AC0B" w14:textId="77777777" w:rsidR="006B4FFA" w:rsidRDefault="006B4FFA" w:rsidP="006B4FFA">
      <w:pPr>
        <w:jc w:val="both"/>
        <w:rPr>
          <w:lang w:bidi="fa-IR"/>
        </w:rPr>
      </w:pPr>
    </w:p>
    <w:p w14:paraId="590007E6" w14:textId="77777777" w:rsidR="00366C87" w:rsidRDefault="00366C87" w:rsidP="006B4FFA">
      <w:pPr>
        <w:jc w:val="both"/>
        <w:rPr>
          <w:lang w:bidi="fa-IR"/>
        </w:rPr>
      </w:pPr>
    </w:p>
    <w:p w14:paraId="713BDD97" w14:textId="77777777" w:rsidR="00366C87" w:rsidRDefault="00366C87" w:rsidP="00366C87">
      <w:pPr>
        <w:jc w:val="center"/>
        <w:rPr>
          <w:lang w:bidi="fa-IR"/>
        </w:rPr>
      </w:pPr>
      <w:r>
        <w:rPr>
          <w:noProof/>
        </w:rPr>
        <w:drawing>
          <wp:inline distT="0" distB="0" distL="0" distR="0" wp14:anchorId="1E14A7EF" wp14:editId="197B512C">
            <wp:extent cx="3352165" cy="21431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165" cy="2143125"/>
                    </a:xfrm>
                    <a:prstGeom prst="rect">
                      <a:avLst/>
                    </a:prstGeom>
                    <a:noFill/>
                  </pic:spPr>
                </pic:pic>
              </a:graphicData>
            </a:graphic>
          </wp:inline>
        </w:drawing>
      </w:r>
    </w:p>
    <w:p w14:paraId="20B0DE4C" w14:textId="7C8AA4F9" w:rsidR="006B4FFA" w:rsidRDefault="00366C87" w:rsidP="00366C87">
      <w:pPr>
        <w:jc w:val="center"/>
        <w:rPr>
          <w:lang w:bidi="fa-IR"/>
        </w:rPr>
      </w:pPr>
      <w:r w:rsidRPr="00366C87">
        <w:rPr>
          <w:lang w:bidi="fa-IR"/>
        </w:rPr>
        <w:t>Figure 1) Sample Loading Configuratio</w:t>
      </w:r>
      <w:r w:rsidR="00813E38">
        <w:rPr>
          <w:lang w:bidi="fa-IR"/>
        </w:rPr>
        <w:t xml:space="preserve">n on the Microfuge-Vortex </w:t>
      </w:r>
      <w:r w:rsidR="009F6F0F">
        <w:rPr>
          <w:lang w:bidi="fa-IR"/>
        </w:rPr>
        <w:t>Apparatus</w:t>
      </w:r>
      <w:r w:rsidR="00813E38">
        <w:rPr>
          <w:lang w:bidi="fa-IR"/>
        </w:rPr>
        <w:t xml:space="preserve"> </w:t>
      </w:r>
    </w:p>
    <w:p w14:paraId="3C4CC793" w14:textId="77777777" w:rsidR="00813E38" w:rsidRPr="00F72781" w:rsidRDefault="00813E38" w:rsidP="00813E38">
      <w:pPr>
        <w:rPr>
          <w:b/>
          <w:bCs/>
          <w:lang w:bidi="fa-IR"/>
        </w:rPr>
      </w:pPr>
    </w:p>
    <w:p w14:paraId="795D17EF" w14:textId="77777777" w:rsidR="009F6F0F" w:rsidRDefault="009F6F0F" w:rsidP="00813E38">
      <w:pPr>
        <w:rPr>
          <w:b/>
          <w:bCs/>
          <w:lang w:bidi="fa-IR"/>
        </w:rPr>
      </w:pPr>
    </w:p>
    <w:p w14:paraId="667A8A87" w14:textId="77777777" w:rsidR="009F6F0F" w:rsidRDefault="009F6F0F" w:rsidP="00813E38">
      <w:pPr>
        <w:rPr>
          <w:b/>
          <w:bCs/>
          <w:lang w:bidi="fa-IR"/>
        </w:rPr>
      </w:pPr>
    </w:p>
    <w:p w14:paraId="47BE3A2C" w14:textId="77777777" w:rsidR="009F6F0F" w:rsidRDefault="009F6F0F" w:rsidP="00813E38">
      <w:pPr>
        <w:rPr>
          <w:b/>
          <w:bCs/>
          <w:lang w:bidi="fa-IR"/>
        </w:rPr>
      </w:pPr>
    </w:p>
    <w:p w14:paraId="5FEADEEB" w14:textId="77777777" w:rsidR="009F6F0F" w:rsidRDefault="009F6F0F" w:rsidP="00813E38">
      <w:pPr>
        <w:rPr>
          <w:b/>
          <w:bCs/>
          <w:lang w:bidi="fa-IR"/>
        </w:rPr>
      </w:pPr>
    </w:p>
    <w:p w14:paraId="756803E6" w14:textId="77777777" w:rsidR="009F6F0F" w:rsidRDefault="009F6F0F" w:rsidP="00813E38">
      <w:pPr>
        <w:rPr>
          <w:b/>
          <w:bCs/>
          <w:lang w:bidi="fa-IR"/>
        </w:rPr>
      </w:pPr>
    </w:p>
    <w:p w14:paraId="3865E59B" w14:textId="77777777" w:rsidR="009F6F0F" w:rsidRDefault="009F6F0F" w:rsidP="00813E38">
      <w:pPr>
        <w:rPr>
          <w:b/>
          <w:bCs/>
          <w:lang w:bidi="fa-IR"/>
        </w:rPr>
      </w:pPr>
    </w:p>
    <w:p w14:paraId="6891348E" w14:textId="24930CFC" w:rsidR="00F72781" w:rsidRDefault="00F72781" w:rsidP="00813E38">
      <w:pPr>
        <w:rPr>
          <w:b/>
          <w:bCs/>
          <w:lang w:bidi="fa-IR"/>
        </w:rPr>
      </w:pPr>
      <w:r w:rsidRPr="00F72781">
        <w:rPr>
          <w:b/>
          <w:bCs/>
          <w:lang w:bidi="fa-IR"/>
        </w:rPr>
        <w:lastRenderedPageBreak/>
        <w:t xml:space="preserve">Technical Specification </w:t>
      </w:r>
    </w:p>
    <w:p w14:paraId="02684588" w14:textId="77777777" w:rsidR="00A2389E" w:rsidRDefault="00A2389E" w:rsidP="00813E38">
      <w:pPr>
        <w:rPr>
          <w:b/>
          <w:bCs/>
          <w:lang w:bidi="fa-IR"/>
        </w:rPr>
      </w:pPr>
    </w:p>
    <w:p w14:paraId="754018EB" w14:textId="77777777" w:rsidR="00A2389E" w:rsidRDefault="00A2389E" w:rsidP="00813E38">
      <w:pPr>
        <w:rPr>
          <w:b/>
          <w:bCs/>
          <w:lang w:bidi="fa-IR"/>
        </w:rPr>
      </w:pPr>
    </w:p>
    <w:p w14:paraId="3708D726" w14:textId="77777777" w:rsidR="00A2389E" w:rsidRDefault="00A2389E" w:rsidP="00813E38">
      <w:pPr>
        <w:rPr>
          <w:b/>
          <w:bCs/>
          <w:lang w:bidi="fa-IR"/>
        </w:rPr>
      </w:pPr>
    </w:p>
    <w:p w14:paraId="6932AD3C" w14:textId="77777777" w:rsidR="00A2389E" w:rsidRDefault="00A2389E" w:rsidP="00813E38">
      <w:pPr>
        <w:rPr>
          <w:b/>
          <w:bCs/>
          <w:lang w:bidi="fa-IR"/>
        </w:rPr>
      </w:pPr>
    </w:p>
    <w:p w14:paraId="582CCE3B" w14:textId="77777777" w:rsidR="00A2389E" w:rsidRDefault="00A2389E" w:rsidP="00813E38">
      <w:pPr>
        <w:rPr>
          <w:b/>
          <w:bCs/>
          <w:lang w:bidi="fa-IR"/>
        </w:rPr>
      </w:pPr>
    </w:p>
    <w:tbl>
      <w:tblPr>
        <w:tblpPr w:leftFromText="180" w:rightFromText="180" w:vertAnchor="page" w:horzAnchor="margin" w:tblpXSpec="center" w:tblpY="2521"/>
        <w:tblW w:w="6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C000"/>
        <w:tblLook w:val="04A0" w:firstRow="1" w:lastRow="0" w:firstColumn="1" w:lastColumn="0" w:noHBand="0" w:noVBand="1"/>
      </w:tblPr>
      <w:tblGrid>
        <w:gridCol w:w="3228"/>
        <w:gridCol w:w="3228"/>
      </w:tblGrid>
      <w:tr w:rsidR="009F6F0F" w:rsidRPr="00A2389E" w14:paraId="3AB0BAA8" w14:textId="77777777" w:rsidTr="009F6F0F">
        <w:trPr>
          <w:trHeight w:val="435"/>
        </w:trPr>
        <w:tc>
          <w:tcPr>
            <w:tcW w:w="6456" w:type="dxa"/>
            <w:gridSpan w:val="2"/>
            <w:shd w:val="clear" w:color="auto" w:fill="A8D08D" w:themeFill="accent6" w:themeFillTint="99"/>
          </w:tcPr>
          <w:p w14:paraId="1888299A" w14:textId="77777777" w:rsidR="009F6F0F" w:rsidRPr="00A2389E" w:rsidRDefault="009F6F0F" w:rsidP="009F6F0F">
            <w:pPr>
              <w:spacing w:after="0" w:line="276" w:lineRule="auto"/>
              <w:jc w:val="center"/>
              <w:rPr>
                <w:rFonts w:ascii="Times New Roman" w:eastAsia="Times New Roman" w:hAnsi="Times New Roman" w:cs="2  Yekan"/>
              </w:rPr>
            </w:pPr>
            <w:r w:rsidRPr="00F72781">
              <w:rPr>
                <w:b/>
                <w:bCs/>
                <w:lang w:bidi="fa-IR"/>
              </w:rPr>
              <w:t>Technical Specification</w:t>
            </w:r>
          </w:p>
        </w:tc>
      </w:tr>
      <w:tr w:rsidR="009F6F0F" w:rsidRPr="00A2389E" w14:paraId="21FC803D" w14:textId="77777777" w:rsidTr="009F6F0F">
        <w:trPr>
          <w:trHeight w:val="435"/>
        </w:trPr>
        <w:tc>
          <w:tcPr>
            <w:tcW w:w="3228" w:type="dxa"/>
            <w:shd w:val="clear" w:color="auto" w:fill="FFFFFF"/>
          </w:tcPr>
          <w:p w14:paraId="28F5A456" w14:textId="77777777" w:rsidR="009F6F0F" w:rsidRDefault="009F6F0F" w:rsidP="009F6F0F">
            <w:pPr>
              <w:spacing w:after="0" w:line="276" w:lineRule="auto"/>
              <w:jc w:val="center"/>
              <w:rPr>
                <w:rFonts w:ascii="Times New Roman" w:eastAsia="Times New Roman" w:hAnsi="Times New Roman" w:cs="2  Yekan"/>
              </w:rPr>
            </w:pPr>
            <w:r>
              <w:rPr>
                <w:rFonts w:ascii="Times New Roman" w:eastAsia="Times New Roman" w:hAnsi="Times New Roman" w:cs="2  Yekan"/>
              </w:rPr>
              <w:t>Model</w:t>
            </w:r>
          </w:p>
        </w:tc>
        <w:tc>
          <w:tcPr>
            <w:tcW w:w="3228" w:type="dxa"/>
            <w:shd w:val="clear" w:color="auto" w:fill="FFFFFF"/>
            <w:vAlign w:val="center"/>
          </w:tcPr>
          <w:p w14:paraId="72AE40E5" w14:textId="77777777" w:rsidR="009F6F0F" w:rsidRPr="00A2389E" w:rsidRDefault="009F6F0F" w:rsidP="009F6F0F">
            <w:pPr>
              <w:spacing w:after="0" w:line="276" w:lineRule="auto"/>
              <w:jc w:val="center"/>
              <w:rPr>
                <w:rFonts w:ascii="Times New Roman" w:eastAsia="Times New Roman" w:hAnsi="Times New Roman" w:cs="2  Yekan"/>
              </w:rPr>
            </w:pPr>
            <w:r w:rsidRPr="00A2389E">
              <w:rPr>
                <w:rFonts w:ascii="Times New Roman" w:eastAsia="Times New Roman" w:hAnsi="Times New Roman" w:cs="2  Yekan"/>
              </w:rPr>
              <w:t>D-3000</w:t>
            </w:r>
          </w:p>
        </w:tc>
      </w:tr>
      <w:tr w:rsidR="009F6F0F" w:rsidRPr="00A2389E" w14:paraId="4D3B1012" w14:textId="77777777" w:rsidTr="009F6F0F">
        <w:trPr>
          <w:trHeight w:val="435"/>
        </w:trPr>
        <w:tc>
          <w:tcPr>
            <w:tcW w:w="3228" w:type="dxa"/>
            <w:shd w:val="clear" w:color="auto" w:fill="FFFFFF"/>
          </w:tcPr>
          <w:p w14:paraId="6ED05F20" w14:textId="77777777" w:rsidR="009F6F0F" w:rsidRPr="00A2389E" w:rsidRDefault="009F6F0F" w:rsidP="009F6F0F">
            <w:pPr>
              <w:spacing w:after="0" w:line="276" w:lineRule="auto"/>
              <w:jc w:val="center"/>
              <w:rPr>
                <w:rFonts w:ascii="Times New Roman" w:eastAsia="Times New Roman" w:hAnsi="Times New Roman" w:cs="2  Yekan"/>
              </w:rPr>
            </w:pPr>
            <w:r w:rsidRPr="00CB6DCC">
              <w:rPr>
                <w:rFonts w:ascii="Times New Roman" w:eastAsia="Times New Roman" w:hAnsi="Times New Roman" w:cs="2  Yekan"/>
              </w:rPr>
              <w:t>Maximum Speed</w:t>
            </w:r>
          </w:p>
        </w:tc>
        <w:tc>
          <w:tcPr>
            <w:tcW w:w="3228" w:type="dxa"/>
            <w:shd w:val="clear" w:color="auto" w:fill="FFFFFF"/>
            <w:vAlign w:val="center"/>
          </w:tcPr>
          <w:p w14:paraId="4ADE4CF4" w14:textId="77777777" w:rsidR="009F6F0F" w:rsidRPr="00A2389E" w:rsidRDefault="009F6F0F" w:rsidP="009F6F0F">
            <w:pPr>
              <w:spacing w:after="0" w:line="276" w:lineRule="auto"/>
              <w:jc w:val="center"/>
              <w:rPr>
                <w:rFonts w:ascii="Times New Roman" w:eastAsia="Times New Roman" w:hAnsi="Times New Roman" w:cs="2  Yekan"/>
              </w:rPr>
            </w:pPr>
            <w:r w:rsidRPr="00A2389E">
              <w:rPr>
                <w:rFonts w:ascii="Times New Roman" w:eastAsia="Times New Roman" w:hAnsi="Times New Roman" w:cs="2  Yekan"/>
              </w:rPr>
              <w:t>3000 rpm</w:t>
            </w:r>
          </w:p>
        </w:tc>
      </w:tr>
      <w:tr w:rsidR="009F6F0F" w:rsidRPr="00A2389E" w14:paraId="526EA54B" w14:textId="77777777" w:rsidTr="009F6F0F">
        <w:trPr>
          <w:trHeight w:val="435"/>
        </w:trPr>
        <w:tc>
          <w:tcPr>
            <w:tcW w:w="3228" w:type="dxa"/>
            <w:vMerge w:val="restart"/>
            <w:shd w:val="clear" w:color="auto" w:fill="FFFFFF"/>
          </w:tcPr>
          <w:p w14:paraId="6DE45DCD" w14:textId="77777777" w:rsidR="009F6F0F" w:rsidRDefault="009F6F0F" w:rsidP="009F6F0F">
            <w:pPr>
              <w:spacing w:after="0" w:line="276" w:lineRule="auto"/>
              <w:jc w:val="center"/>
              <w:rPr>
                <w:rFonts w:ascii="Times New Roman" w:eastAsia="Times New Roman" w:hAnsi="Times New Roman" w:cs="2  Yekan"/>
              </w:rPr>
            </w:pPr>
          </w:p>
          <w:p w14:paraId="6CEF6473" w14:textId="77777777" w:rsidR="009F6F0F" w:rsidRPr="00A2389E" w:rsidRDefault="009F6F0F" w:rsidP="009F6F0F">
            <w:pPr>
              <w:spacing w:after="0" w:line="276" w:lineRule="auto"/>
              <w:jc w:val="center"/>
              <w:rPr>
                <w:rFonts w:ascii="Times New Roman" w:eastAsia="Times New Roman" w:hAnsi="Times New Roman" w:cs="2  Yekan"/>
              </w:rPr>
            </w:pPr>
            <w:r>
              <w:rPr>
                <w:rFonts w:ascii="Times New Roman" w:eastAsia="Times New Roman" w:hAnsi="Times New Roman" w:cs="2  Yekan"/>
              </w:rPr>
              <w:t xml:space="preserve">Capacity </w:t>
            </w:r>
          </w:p>
        </w:tc>
        <w:tc>
          <w:tcPr>
            <w:tcW w:w="3228" w:type="dxa"/>
            <w:shd w:val="clear" w:color="auto" w:fill="FFFFFF"/>
            <w:vAlign w:val="center"/>
          </w:tcPr>
          <w:p w14:paraId="36ED8E08" w14:textId="77777777" w:rsidR="009F6F0F" w:rsidRPr="00A2389E" w:rsidRDefault="009F6F0F" w:rsidP="009F6F0F">
            <w:pPr>
              <w:spacing w:after="0" w:line="276" w:lineRule="auto"/>
              <w:jc w:val="center"/>
              <w:rPr>
                <w:rFonts w:ascii="Times New Roman" w:eastAsia="Times New Roman" w:hAnsi="Times New Roman" w:cs="2  Yekan"/>
              </w:rPr>
            </w:pPr>
            <w:r w:rsidRPr="00A2389E">
              <w:rPr>
                <w:rFonts w:ascii="Times New Roman" w:eastAsia="Times New Roman" w:hAnsi="Times New Roman" w:cs="2  Yekan"/>
              </w:rPr>
              <w:t>1.5 ml</w:t>
            </w:r>
          </w:p>
        </w:tc>
      </w:tr>
      <w:tr w:rsidR="009F6F0F" w:rsidRPr="00A2389E" w14:paraId="690B484C" w14:textId="77777777" w:rsidTr="009F6F0F">
        <w:trPr>
          <w:trHeight w:val="255"/>
        </w:trPr>
        <w:tc>
          <w:tcPr>
            <w:tcW w:w="3228" w:type="dxa"/>
            <w:vMerge/>
            <w:shd w:val="clear" w:color="auto" w:fill="FFFFFF"/>
          </w:tcPr>
          <w:p w14:paraId="79C806A9" w14:textId="77777777" w:rsidR="009F6F0F" w:rsidRPr="00A2389E" w:rsidRDefault="009F6F0F" w:rsidP="009F6F0F">
            <w:pPr>
              <w:spacing w:after="0" w:line="276" w:lineRule="auto"/>
              <w:jc w:val="center"/>
              <w:rPr>
                <w:rFonts w:ascii="Times New Roman" w:eastAsia="Times New Roman" w:hAnsi="Times New Roman" w:cs="2  Yekan"/>
              </w:rPr>
            </w:pPr>
          </w:p>
        </w:tc>
        <w:tc>
          <w:tcPr>
            <w:tcW w:w="3228" w:type="dxa"/>
            <w:shd w:val="clear" w:color="auto" w:fill="FFFFFF"/>
            <w:vAlign w:val="center"/>
          </w:tcPr>
          <w:p w14:paraId="09B46820" w14:textId="77777777" w:rsidR="009F6F0F" w:rsidRPr="00A2389E" w:rsidRDefault="009F6F0F" w:rsidP="009F6F0F">
            <w:pPr>
              <w:spacing w:after="0" w:line="276" w:lineRule="auto"/>
              <w:jc w:val="center"/>
              <w:rPr>
                <w:rFonts w:ascii="Times New Roman" w:eastAsia="Times New Roman" w:hAnsi="Times New Roman" w:cs="2  Yekan"/>
              </w:rPr>
            </w:pPr>
            <w:r w:rsidRPr="00A2389E">
              <w:rPr>
                <w:rFonts w:ascii="Times New Roman" w:eastAsia="Times New Roman" w:hAnsi="Times New Roman" w:cs="2  Yekan"/>
              </w:rPr>
              <w:t>0.5 ml</w:t>
            </w:r>
          </w:p>
        </w:tc>
      </w:tr>
      <w:tr w:rsidR="009F6F0F" w:rsidRPr="00A2389E" w14:paraId="3A24F26E" w14:textId="77777777" w:rsidTr="009F6F0F">
        <w:trPr>
          <w:trHeight w:val="255"/>
        </w:trPr>
        <w:tc>
          <w:tcPr>
            <w:tcW w:w="3228" w:type="dxa"/>
            <w:vMerge/>
            <w:shd w:val="clear" w:color="auto" w:fill="FFFFFF"/>
          </w:tcPr>
          <w:p w14:paraId="70E1800C" w14:textId="77777777" w:rsidR="009F6F0F" w:rsidRPr="00A2389E" w:rsidRDefault="009F6F0F" w:rsidP="009F6F0F">
            <w:pPr>
              <w:spacing w:after="0" w:line="276" w:lineRule="auto"/>
              <w:jc w:val="center"/>
              <w:rPr>
                <w:rFonts w:ascii="Times New Roman" w:eastAsia="Times New Roman" w:hAnsi="Times New Roman" w:cs="2  Yekan"/>
              </w:rPr>
            </w:pPr>
          </w:p>
        </w:tc>
        <w:tc>
          <w:tcPr>
            <w:tcW w:w="3228" w:type="dxa"/>
            <w:shd w:val="clear" w:color="auto" w:fill="FFFFFF"/>
            <w:vAlign w:val="center"/>
          </w:tcPr>
          <w:p w14:paraId="15FA308B" w14:textId="77777777" w:rsidR="009F6F0F" w:rsidRPr="00A2389E" w:rsidRDefault="009F6F0F" w:rsidP="009F6F0F">
            <w:pPr>
              <w:spacing w:after="0" w:line="276" w:lineRule="auto"/>
              <w:jc w:val="center"/>
              <w:rPr>
                <w:rFonts w:ascii="Times New Roman" w:eastAsia="Times New Roman" w:hAnsi="Times New Roman" w:cs="2  Yekan"/>
              </w:rPr>
            </w:pPr>
            <w:r w:rsidRPr="00A2389E">
              <w:rPr>
                <w:rFonts w:ascii="Times New Roman" w:eastAsia="Times New Roman" w:hAnsi="Times New Roman" w:cs="2  Yekan"/>
              </w:rPr>
              <w:t>0.2 ml</w:t>
            </w:r>
          </w:p>
        </w:tc>
      </w:tr>
      <w:tr w:rsidR="009F6F0F" w:rsidRPr="00A2389E" w14:paraId="74CC6C75" w14:textId="77777777" w:rsidTr="009F6F0F">
        <w:trPr>
          <w:trHeight w:val="435"/>
        </w:trPr>
        <w:tc>
          <w:tcPr>
            <w:tcW w:w="3228" w:type="dxa"/>
            <w:shd w:val="clear" w:color="auto" w:fill="FFFFFF"/>
          </w:tcPr>
          <w:p w14:paraId="367526B3" w14:textId="77777777" w:rsidR="009F6F0F" w:rsidRPr="00A2389E" w:rsidRDefault="009F6F0F" w:rsidP="009F6F0F">
            <w:pPr>
              <w:spacing w:after="0" w:line="276" w:lineRule="auto"/>
              <w:jc w:val="center"/>
              <w:rPr>
                <w:rFonts w:ascii="Times New Roman" w:eastAsia="Times New Roman" w:hAnsi="Times New Roman" w:cs="2  Yekan"/>
              </w:rPr>
            </w:pPr>
            <w:r>
              <w:rPr>
                <w:rFonts w:ascii="Times New Roman" w:eastAsia="Times New Roman" w:hAnsi="Times New Roman" w:cs="2  Yekan"/>
              </w:rPr>
              <w:t xml:space="preserve">Input Voltage </w:t>
            </w:r>
          </w:p>
        </w:tc>
        <w:tc>
          <w:tcPr>
            <w:tcW w:w="3228" w:type="dxa"/>
            <w:shd w:val="clear" w:color="auto" w:fill="FFFFFF"/>
            <w:vAlign w:val="center"/>
          </w:tcPr>
          <w:p w14:paraId="475A7878" w14:textId="77777777" w:rsidR="009F6F0F" w:rsidRPr="00A2389E" w:rsidRDefault="009F6F0F" w:rsidP="009F6F0F">
            <w:pPr>
              <w:spacing w:after="0" w:line="276" w:lineRule="auto"/>
              <w:jc w:val="center"/>
              <w:rPr>
                <w:rFonts w:ascii="Times New Roman" w:eastAsia="Times New Roman" w:hAnsi="Times New Roman" w:cs="2  Yekan"/>
              </w:rPr>
            </w:pPr>
            <w:r w:rsidRPr="00A2389E">
              <w:rPr>
                <w:rFonts w:ascii="Times New Roman" w:eastAsia="Times New Roman" w:hAnsi="Times New Roman" w:cs="2  Yekan"/>
              </w:rPr>
              <w:t>220 V   50-60 Hz</w:t>
            </w:r>
          </w:p>
        </w:tc>
      </w:tr>
      <w:tr w:rsidR="009F6F0F" w:rsidRPr="00A2389E" w14:paraId="0F49E402" w14:textId="77777777" w:rsidTr="009F6F0F">
        <w:trPr>
          <w:trHeight w:val="435"/>
        </w:trPr>
        <w:tc>
          <w:tcPr>
            <w:tcW w:w="3228" w:type="dxa"/>
            <w:shd w:val="clear" w:color="auto" w:fill="FFFFFF"/>
          </w:tcPr>
          <w:p w14:paraId="6169AEAD" w14:textId="77777777" w:rsidR="009F6F0F" w:rsidRPr="00A2389E" w:rsidRDefault="009F6F0F" w:rsidP="009F6F0F">
            <w:pPr>
              <w:spacing w:after="0" w:line="276" w:lineRule="auto"/>
              <w:jc w:val="center"/>
              <w:rPr>
                <w:rFonts w:ascii="Times New Roman" w:eastAsia="Times New Roman" w:hAnsi="Times New Roman" w:cs="2  Yekan"/>
              </w:rPr>
            </w:pPr>
            <w:r>
              <w:rPr>
                <w:rFonts w:ascii="Times New Roman" w:eastAsia="Times New Roman" w:hAnsi="Times New Roman" w:cs="2  Yekan"/>
              </w:rPr>
              <w:t xml:space="preserve">Dimension </w:t>
            </w:r>
          </w:p>
        </w:tc>
        <w:tc>
          <w:tcPr>
            <w:tcW w:w="3228" w:type="dxa"/>
            <w:shd w:val="clear" w:color="auto" w:fill="FFFFFF"/>
            <w:vAlign w:val="center"/>
          </w:tcPr>
          <w:p w14:paraId="2E5F0B86" w14:textId="77777777" w:rsidR="009F6F0F" w:rsidRPr="00A2389E" w:rsidRDefault="009F6F0F" w:rsidP="009F6F0F">
            <w:pPr>
              <w:spacing w:after="0" w:line="276" w:lineRule="auto"/>
              <w:jc w:val="center"/>
              <w:rPr>
                <w:rFonts w:ascii="Times New Roman" w:eastAsia="Times New Roman" w:hAnsi="Times New Roman" w:cs="2  Yekan"/>
              </w:rPr>
            </w:pPr>
            <w:r w:rsidRPr="00A2389E">
              <w:rPr>
                <w:rFonts w:ascii="Times New Roman" w:eastAsia="Times New Roman" w:hAnsi="Times New Roman" w:cs="2  Yekan"/>
              </w:rPr>
              <w:t>20 cm x 15 cm x 11 cm</w:t>
            </w:r>
          </w:p>
        </w:tc>
      </w:tr>
      <w:tr w:rsidR="009F6F0F" w:rsidRPr="00A2389E" w14:paraId="41F1FD72" w14:textId="77777777" w:rsidTr="009F6F0F">
        <w:trPr>
          <w:trHeight w:val="247"/>
        </w:trPr>
        <w:tc>
          <w:tcPr>
            <w:tcW w:w="3228" w:type="dxa"/>
            <w:shd w:val="clear" w:color="auto" w:fill="FFFFFF"/>
          </w:tcPr>
          <w:p w14:paraId="20BCC96A" w14:textId="77777777" w:rsidR="009F6F0F" w:rsidRPr="00A2389E" w:rsidRDefault="009F6F0F" w:rsidP="009F6F0F">
            <w:pPr>
              <w:spacing w:after="0" w:line="276" w:lineRule="auto"/>
              <w:jc w:val="center"/>
              <w:rPr>
                <w:rFonts w:ascii="Times New Roman" w:eastAsia="Times New Roman" w:hAnsi="Times New Roman" w:cs="2  Yekan"/>
              </w:rPr>
            </w:pPr>
            <w:r>
              <w:rPr>
                <w:rFonts w:ascii="Times New Roman" w:eastAsia="Times New Roman" w:hAnsi="Times New Roman" w:cs="2  Yekan"/>
              </w:rPr>
              <w:t xml:space="preserve">Weight </w:t>
            </w:r>
          </w:p>
        </w:tc>
        <w:tc>
          <w:tcPr>
            <w:tcW w:w="3228" w:type="dxa"/>
            <w:shd w:val="clear" w:color="auto" w:fill="FFFFFF"/>
            <w:vAlign w:val="center"/>
          </w:tcPr>
          <w:p w14:paraId="0587B330" w14:textId="77777777" w:rsidR="009F6F0F" w:rsidRPr="00A2389E" w:rsidRDefault="009F6F0F" w:rsidP="009F6F0F">
            <w:pPr>
              <w:spacing w:after="0" w:line="276" w:lineRule="auto"/>
              <w:jc w:val="center"/>
              <w:rPr>
                <w:rFonts w:ascii="Times New Roman" w:eastAsia="Times New Roman" w:hAnsi="Times New Roman" w:cs="2  Yekan"/>
              </w:rPr>
            </w:pPr>
            <w:r w:rsidRPr="00A2389E">
              <w:rPr>
                <w:rFonts w:ascii="Times New Roman" w:eastAsia="Times New Roman" w:hAnsi="Times New Roman" w:cs="2  Yekan"/>
              </w:rPr>
              <w:t>3.6 kg</w:t>
            </w:r>
          </w:p>
        </w:tc>
      </w:tr>
      <w:tr w:rsidR="009F6F0F" w:rsidRPr="00A2389E" w14:paraId="0DD4F6B2" w14:textId="77777777" w:rsidTr="009F6F0F">
        <w:trPr>
          <w:trHeight w:val="396"/>
        </w:trPr>
        <w:tc>
          <w:tcPr>
            <w:tcW w:w="3228" w:type="dxa"/>
            <w:shd w:val="clear" w:color="auto" w:fill="FFFFFF"/>
          </w:tcPr>
          <w:p w14:paraId="7B94E36A" w14:textId="77777777" w:rsidR="009F6F0F" w:rsidRPr="00A2389E" w:rsidRDefault="009F6F0F" w:rsidP="009F6F0F">
            <w:pPr>
              <w:spacing w:after="0" w:line="276" w:lineRule="auto"/>
              <w:jc w:val="center"/>
              <w:rPr>
                <w:rFonts w:ascii="Times New Roman" w:eastAsia="Times New Roman" w:hAnsi="Times New Roman" w:cs="2  Yekan"/>
                <w:rtl/>
              </w:rPr>
            </w:pPr>
            <w:proofErr w:type="spellStart"/>
            <w:r w:rsidRPr="00CB6DCC">
              <w:rPr>
                <w:rFonts w:ascii="Times New Roman" w:eastAsia="Times New Roman" w:hAnsi="Times New Roman" w:cs="2  Yekan"/>
              </w:rPr>
              <w:t>Vortexing</w:t>
            </w:r>
            <w:proofErr w:type="spellEnd"/>
            <w:r w:rsidRPr="00CB6DCC">
              <w:rPr>
                <w:rFonts w:ascii="Times New Roman" w:eastAsia="Times New Roman" w:hAnsi="Times New Roman" w:cs="2  Yekan"/>
              </w:rPr>
              <w:t xml:space="preserve"> Capability</w:t>
            </w:r>
          </w:p>
        </w:tc>
        <w:tc>
          <w:tcPr>
            <w:tcW w:w="3228" w:type="dxa"/>
            <w:shd w:val="clear" w:color="auto" w:fill="FFFFFF"/>
            <w:vAlign w:val="center"/>
          </w:tcPr>
          <w:p w14:paraId="19E55405" w14:textId="77777777" w:rsidR="009F6F0F" w:rsidRPr="00A2389E" w:rsidRDefault="009F6F0F" w:rsidP="009F6F0F">
            <w:pPr>
              <w:spacing w:after="0" w:line="276" w:lineRule="auto"/>
              <w:jc w:val="center"/>
              <w:rPr>
                <w:rFonts w:ascii="Times New Roman" w:eastAsia="Times New Roman" w:hAnsi="Times New Roman" w:cs="2  Yekan"/>
              </w:rPr>
            </w:pPr>
            <w:r>
              <w:rPr>
                <w:rFonts w:ascii="Times New Roman" w:eastAsia="Times New Roman" w:hAnsi="Times New Roman" w:cs="2  Yekan"/>
              </w:rPr>
              <w:t>yes</w:t>
            </w:r>
          </w:p>
        </w:tc>
      </w:tr>
    </w:tbl>
    <w:p w14:paraId="49F09BCD" w14:textId="77777777" w:rsidR="00A2389E" w:rsidRDefault="00A2389E" w:rsidP="00813E38">
      <w:pPr>
        <w:rPr>
          <w:b/>
          <w:bCs/>
          <w:lang w:bidi="fa-IR"/>
        </w:rPr>
      </w:pPr>
    </w:p>
    <w:p w14:paraId="2E95F6AB" w14:textId="77777777" w:rsidR="00A2389E" w:rsidRDefault="00A2389E" w:rsidP="00813E38">
      <w:pPr>
        <w:rPr>
          <w:b/>
          <w:bCs/>
          <w:lang w:bidi="fa-IR"/>
        </w:rPr>
      </w:pPr>
    </w:p>
    <w:p w14:paraId="4A24C6E0" w14:textId="77777777" w:rsidR="00A2389E" w:rsidRDefault="00A2389E" w:rsidP="00813E38">
      <w:pPr>
        <w:rPr>
          <w:b/>
          <w:bCs/>
          <w:lang w:bidi="fa-IR"/>
        </w:rPr>
      </w:pPr>
    </w:p>
    <w:p w14:paraId="7FEE6786" w14:textId="77777777" w:rsidR="00A2389E" w:rsidRDefault="00A2389E" w:rsidP="00813E38">
      <w:pPr>
        <w:rPr>
          <w:b/>
          <w:bCs/>
          <w:lang w:bidi="fa-IR"/>
        </w:rPr>
      </w:pPr>
    </w:p>
    <w:p w14:paraId="7052DB06" w14:textId="77777777" w:rsidR="009F6F0F" w:rsidRDefault="009F6F0F" w:rsidP="00813E38">
      <w:pPr>
        <w:rPr>
          <w:b/>
          <w:bCs/>
          <w:lang w:bidi="fa-IR"/>
        </w:rPr>
      </w:pPr>
    </w:p>
    <w:p w14:paraId="3D180FAB" w14:textId="77777777" w:rsidR="009F6F0F" w:rsidRDefault="009F6F0F" w:rsidP="00813E38">
      <w:pPr>
        <w:rPr>
          <w:b/>
          <w:bCs/>
          <w:lang w:bidi="fa-IR"/>
        </w:rPr>
      </w:pPr>
    </w:p>
    <w:p w14:paraId="18551F59" w14:textId="77777777" w:rsidR="009F6F0F" w:rsidRDefault="009F6F0F" w:rsidP="00813E38">
      <w:pPr>
        <w:rPr>
          <w:b/>
          <w:bCs/>
          <w:lang w:bidi="fa-IR"/>
        </w:rPr>
      </w:pPr>
    </w:p>
    <w:p w14:paraId="63D7DC92" w14:textId="77777777" w:rsidR="009F6F0F" w:rsidRDefault="009F6F0F" w:rsidP="00813E38">
      <w:pPr>
        <w:rPr>
          <w:b/>
          <w:bCs/>
          <w:lang w:bidi="fa-IR"/>
        </w:rPr>
      </w:pPr>
    </w:p>
    <w:p w14:paraId="427A3ED7" w14:textId="77777777" w:rsidR="005B52FE" w:rsidRPr="0004622E" w:rsidRDefault="005B52FE" w:rsidP="005B52FE">
      <w:pPr>
        <w:rPr>
          <w:rFonts w:eastAsia="Calibri" w:cs="2  Yekan"/>
          <w:b/>
          <w:bCs/>
          <w:lang w:bidi="fa-IR"/>
        </w:rPr>
      </w:pPr>
      <w:r w:rsidRPr="0004622E">
        <w:rPr>
          <w:rFonts w:eastAsia="Calibri" w:cs="2  Yekan"/>
          <w:b/>
          <w:bCs/>
          <w:lang w:bidi="fa-IR"/>
        </w:rPr>
        <w:t xml:space="preserve">Maintenance: </w:t>
      </w:r>
    </w:p>
    <w:p w14:paraId="66C99625" w14:textId="5FE1FECA" w:rsidR="005B52FE" w:rsidRPr="0004622E" w:rsidRDefault="005B52FE" w:rsidP="005B52FE">
      <w:pPr>
        <w:rPr>
          <w:rFonts w:eastAsia="Calibri" w:cs="2  Yekan"/>
          <w:lang w:bidi="fa-IR"/>
        </w:rPr>
      </w:pPr>
      <w:r w:rsidRPr="0004622E">
        <w:rPr>
          <w:rFonts w:eastAsia="Calibri" w:cs="2  Yekan"/>
          <w:lang w:bidi="fa-IR"/>
        </w:rPr>
        <w:t>• In ca</w:t>
      </w:r>
      <w:r>
        <w:rPr>
          <w:rFonts w:eastAsia="Calibri" w:cs="2  Yekan"/>
          <w:lang w:bidi="fa-IR"/>
        </w:rPr>
        <w:t>se of any issues with the apparatus</w:t>
      </w:r>
      <w:r w:rsidRPr="0004622E">
        <w:rPr>
          <w:rFonts w:eastAsia="Calibri" w:cs="2  Yekan"/>
          <w:lang w:bidi="fa-IR"/>
        </w:rPr>
        <w:t>, never attempt to open it,</w:t>
      </w:r>
      <w:r>
        <w:rPr>
          <w:rFonts w:eastAsia="Calibri" w:cs="2  Yekan"/>
          <w:lang w:bidi="fa-IR"/>
        </w:rPr>
        <w:t xml:space="preserve"> and promptly contact Denagene </w:t>
      </w:r>
      <w:proofErr w:type="spellStart"/>
      <w:r>
        <w:rPr>
          <w:rFonts w:eastAsia="Calibri" w:cs="2  Yekan"/>
          <w:lang w:bidi="fa-IR"/>
        </w:rPr>
        <w:t>Tajhiz</w:t>
      </w:r>
      <w:proofErr w:type="spellEnd"/>
      <w:r>
        <w:rPr>
          <w:rFonts w:eastAsia="Calibri" w:cs="2  Yekan"/>
          <w:lang w:bidi="fa-IR"/>
        </w:rPr>
        <w:t xml:space="preserve"> Company’</w:t>
      </w:r>
      <w:r w:rsidRPr="0004622E">
        <w:rPr>
          <w:rFonts w:eastAsia="Calibri" w:cs="2  Yekan"/>
          <w:lang w:bidi="fa-IR"/>
        </w:rPr>
        <w:t xml:space="preserve">s </w:t>
      </w:r>
      <w:r w:rsidR="00DB7309">
        <w:rPr>
          <w:rFonts w:eastAsia="Calibri" w:cs="2  Yekan"/>
          <w:lang w:bidi="fa-IR"/>
        </w:rPr>
        <w:t>Technical</w:t>
      </w:r>
      <w:r w:rsidRPr="0004622E">
        <w:rPr>
          <w:rFonts w:eastAsia="Calibri" w:cs="2  Yekan"/>
          <w:lang w:bidi="fa-IR"/>
        </w:rPr>
        <w:t xml:space="preserve"> department.</w:t>
      </w:r>
    </w:p>
    <w:p w14:paraId="5E91F3B0" w14:textId="77777777" w:rsidR="005B52FE" w:rsidRPr="0004622E" w:rsidRDefault="005B52FE" w:rsidP="005B52FE">
      <w:pPr>
        <w:rPr>
          <w:rFonts w:eastAsia="Calibri" w:cs="2  Yekan"/>
          <w:lang w:bidi="fa-IR"/>
        </w:rPr>
      </w:pPr>
      <w:r w:rsidRPr="0004622E">
        <w:rPr>
          <w:rFonts w:eastAsia="Calibri" w:cs="2  Yekan"/>
          <w:lang w:bidi="fa-IR"/>
        </w:rPr>
        <w:t>• Avoid using strong corrosive substances such as acetone</w:t>
      </w:r>
      <w:r>
        <w:rPr>
          <w:rFonts w:eastAsia="Calibri" w:cs="2  Yekan"/>
          <w:lang w:bidi="fa-IR"/>
        </w:rPr>
        <w:t xml:space="preserve"> and benzene to clean the apparatus</w:t>
      </w:r>
      <w:r w:rsidRPr="0004622E">
        <w:rPr>
          <w:rFonts w:eastAsia="Calibri" w:cs="2  Yekan"/>
          <w:lang w:bidi="fa-IR"/>
        </w:rPr>
        <w:t>.</w:t>
      </w:r>
    </w:p>
    <w:p w14:paraId="0A7C95E9" w14:textId="0F71AA24" w:rsidR="009F6F0F" w:rsidRDefault="005B52FE" w:rsidP="00ED71BC">
      <w:pPr>
        <w:rPr>
          <w:rFonts w:eastAsia="Calibri" w:cs="2  Yekan"/>
          <w:lang w:bidi="fa-IR"/>
        </w:rPr>
      </w:pPr>
      <w:r w:rsidRPr="0004622E">
        <w:rPr>
          <w:rFonts w:eastAsia="Calibri" w:cs="2  Yekan"/>
          <w:lang w:bidi="fa-IR"/>
        </w:rPr>
        <w:t xml:space="preserve">• It </w:t>
      </w:r>
      <w:r>
        <w:rPr>
          <w:rFonts w:eastAsia="Calibri" w:cs="2  Yekan"/>
          <w:lang w:bidi="fa-IR"/>
        </w:rPr>
        <w:t>is advisable to clean the apparatus</w:t>
      </w:r>
      <w:r w:rsidRPr="0004622E">
        <w:rPr>
          <w:rFonts w:eastAsia="Calibri" w:cs="2  Yekan"/>
          <w:lang w:bidi="fa-IR"/>
        </w:rPr>
        <w:t xml:space="preserve"> using a soft, damp cloth.</w:t>
      </w:r>
    </w:p>
    <w:p w14:paraId="04A8A15C" w14:textId="77777777" w:rsidR="00ED71BC" w:rsidRPr="0004622E" w:rsidRDefault="00ED71BC" w:rsidP="00ED71BC">
      <w:pPr>
        <w:rPr>
          <w:rFonts w:eastAsia="Calibri" w:cs="2  Yekan"/>
          <w:lang w:bidi="fa-IR"/>
        </w:rPr>
      </w:pPr>
    </w:p>
    <w:p w14:paraId="2F37886A" w14:textId="77777777" w:rsidR="005B52FE" w:rsidRPr="0004622E" w:rsidRDefault="005B52FE" w:rsidP="005B52FE">
      <w:pPr>
        <w:rPr>
          <w:rFonts w:eastAsia="Calibri" w:cs="2  Yekan"/>
          <w:lang w:bidi="fa-IR"/>
        </w:rPr>
      </w:pPr>
      <w:r w:rsidRPr="0004622E">
        <w:rPr>
          <w:rFonts w:eastAsia="Calibri" w:cs="2  Yekan"/>
          <w:lang w:bidi="fa-IR"/>
        </w:rPr>
        <w:t>Warranty and After-Sales Service:</w:t>
      </w:r>
    </w:p>
    <w:p w14:paraId="0079124B" w14:textId="77777777" w:rsidR="005B52FE" w:rsidRPr="0004622E" w:rsidRDefault="005B52FE" w:rsidP="005B52FE">
      <w:pPr>
        <w:rPr>
          <w:rFonts w:eastAsia="Calibri" w:cs="2  Yekan"/>
          <w:lang w:bidi="fa-IR"/>
        </w:rPr>
      </w:pPr>
      <w:r>
        <w:rPr>
          <w:rFonts w:eastAsia="Calibri" w:cs="2  Yekan"/>
          <w:lang w:bidi="fa-IR"/>
        </w:rPr>
        <w:t xml:space="preserve">• Denagene </w:t>
      </w:r>
      <w:proofErr w:type="spellStart"/>
      <w:r>
        <w:rPr>
          <w:rFonts w:eastAsia="Calibri" w:cs="2  Yekan"/>
          <w:lang w:bidi="fa-IR"/>
        </w:rPr>
        <w:t>Tajhiz</w:t>
      </w:r>
      <w:proofErr w:type="spellEnd"/>
      <w:r>
        <w:rPr>
          <w:rFonts w:eastAsia="Calibri" w:cs="2  Yekan"/>
          <w:lang w:bidi="fa-IR"/>
        </w:rPr>
        <w:t xml:space="preserve"> Company</w:t>
      </w:r>
      <w:r w:rsidRPr="0004622E">
        <w:rPr>
          <w:rFonts w:eastAsia="Calibri" w:cs="2  Yekan"/>
          <w:lang w:bidi="fa-IR"/>
        </w:rPr>
        <w:t xml:space="preserve"> provides a one-year warranty for the Vortex Mixer.</w:t>
      </w:r>
    </w:p>
    <w:p w14:paraId="3FBF7B2C" w14:textId="77777777" w:rsidR="005B52FE" w:rsidRDefault="005B52FE" w:rsidP="005B52FE">
      <w:pPr>
        <w:jc w:val="both"/>
        <w:rPr>
          <w:rFonts w:eastAsia="Calibri" w:cs="2  Yekan"/>
          <w:lang w:bidi="fa-IR"/>
        </w:rPr>
      </w:pPr>
      <w:r w:rsidRPr="0004622E">
        <w:rPr>
          <w:rFonts w:eastAsia="Calibri" w:cs="2  Yekan"/>
          <w:lang w:bidi="fa-IR"/>
        </w:rPr>
        <w:t>• The Vortex Mixer, manufactured b</w:t>
      </w:r>
      <w:r>
        <w:rPr>
          <w:rFonts w:eastAsia="Calibri" w:cs="2  Yekan"/>
          <w:lang w:bidi="fa-IR"/>
        </w:rPr>
        <w:t xml:space="preserve">y Denagene </w:t>
      </w:r>
      <w:proofErr w:type="spellStart"/>
      <w:r>
        <w:rPr>
          <w:rFonts w:eastAsia="Calibri" w:cs="2  Yekan"/>
          <w:lang w:bidi="fa-IR"/>
        </w:rPr>
        <w:t>Tajhiz</w:t>
      </w:r>
      <w:proofErr w:type="spellEnd"/>
      <w:r>
        <w:rPr>
          <w:rFonts w:eastAsia="Calibri" w:cs="2  Yekan"/>
          <w:lang w:bidi="fa-IR"/>
        </w:rPr>
        <w:t xml:space="preserve"> Company</w:t>
      </w:r>
      <w:r w:rsidRPr="0004622E">
        <w:rPr>
          <w:rFonts w:eastAsia="Calibri" w:cs="2  Yekan"/>
          <w:lang w:bidi="fa-IR"/>
        </w:rPr>
        <w:t>, comes with 10 years of after-sales service.</w:t>
      </w:r>
    </w:p>
    <w:p w14:paraId="2FE51C1B" w14:textId="77777777" w:rsidR="00B16916" w:rsidRDefault="00B16916" w:rsidP="00813E38">
      <w:pPr>
        <w:rPr>
          <w:b/>
          <w:bCs/>
          <w:lang w:bidi="fa-IR"/>
        </w:rPr>
      </w:pPr>
    </w:p>
    <w:p w14:paraId="47E84544" w14:textId="77777777" w:rsidR="00A8531F" w:rsidRDefault="00A8531F" w:rsidP="006B4FFA">
      <w:pPr>
        <w:jc w:val="both"/>
      </w:pPr>
    </w:p>
    <w:p w14:paraId="34B61CF8" w14:textId="77777777" w:rsidR="00A8531F" w:rsidRDefault="00A8531F" w:rsidP="006B4FFA">
      <w:pPr>
        <w:jc w:val="both"/>
      </w:pPr>
    </w:p>
    <w:p w14:paraId="2987F212" w14:textId="77777777" w:rsidR="00ED71BC" w:rsidRDefault="00ED71BC" w:rsidP="006B4FFA">
      <w:pPr>
        <w:jc w:val="both"/>
      </w:pPr>
    </w:p>
    <w:p w14:paraId="454F4027" w14:textId="77777777" w:rsidR="00ED71BC" w:rsidRDefault="00ED71BC" w:rsidP="006B4FFA">
      <w:pPr>
        <w:jc w:val="both"/>
      </w:pPr>
    </w:p>
    <w:p w14:paraId="1C5DE01D" w14:textId="77777777" w:rsidR="00F42E33" w:rsidRPr="00831E14" w:rsidRDefault="00F42E33" w:rsidP="00F42E33">
      <w:pPr>
        <w:rPr>
          <w:rFonts w:cs="2  Yekan"/>
          <w:lang w:bidi="fa-IR"/>
        </w:rPr>
      </w:pPr>
      <w:r w:rsidRPr="00831E14">
        <w:rPr>
          <w:rFonts w:cs="2  Yekan"/>
          <w:lang w:bidi="fa-IR"/>
        </w:rPr>
        <w:lastRenderedPageBreak/>
        <w:t>Documentation and Support</w:t>
      </w:r>
    </w:p>
    <w:p w14:paraId="586B7C32" w14:textId="77777777" w:rsidR="00F42E33" w:rsidRPr="00831E14" w:rsidRDefault="00F42E33" w:rsidP="00F42E33">
      <w:pPr>
        <w:rPr>
          <w:rFonts w:cs="2  Yekan"/>
          <w:lang w:bidi="fa-IR"/>
        </w:rPr>
      </w:pPr>
      <w:r>
        <w:rPr>
          <w:rFonts w:cs="2  Yekan"/>
          <w:lang w:bidi="fa-IR"/>
        </w:rPr>
        <w:t>To obtain</w:t>
      </w:r>
      <w:r w:rsidRPr="00831E14">
        <w:rPr>
          <w:rFonts w:cs="2  Yekan"/>
          <w:lang w:bidi="fa-IR"/>
        </w:rPr>
        <w:t xml:space="preserve"> support for the latest services and support information for all locations, go to:</w:t>
      </w:r>
    </w:p>
    <w:p w14:paraId="2E8864D4" w14:textId="77777777" w:rsidR="00F42E33" w:rsidRPr="00831E14" w:rsidRDefault="00F42E33" w:rsidP="00F42E33">
      <w:pPr>
        <w:rPr>
          <w:rFonts w:cs="2  Yekan"/>
          <w:lang w:bidi="fa-IR"/>
        </w:rPr>
      </w:pPr>
      <w:hyperlink r:id="rId5" w:history="1">
        <w:r w:rsidRPr="00FA6B87">
          <w:rPr>
            <w:rStyle w:val="Hyperlink"/>
            <w:rFonts w:cs="2  Yekan"/>
            <w:lang w:bidi="fa-IR"/>
          </w:rPr>
          <w:t>www.Denagene.com</w:t>
        </w:r>
      </w:hyperlink>
      <w:r>
        <w:rPr>
          <w:rFonts w:cs="2  Yekan"/>
          <w:lang w:bidi="fa-IR"/>
        </w:rPr>
        <w:t xml:space="preserve"> </w:t>
      </w:r>
    </w:p>
    <w:p w14:paraId="4190EA9D" w14:textId="77777777" w:rsidR="00F42E33" w:rsidRPr="00831E14" w:rsidRDefault="00F42E33" w:rsidP="00F42E33">
      <w:pPr>
        <w:rPr>
          <w:rFonts w:cs="2  Yekan"/>
          <w:lang w:bidi="fa-IR"/>
        </w:rPr>
      </w:pPr>
      <w:r w:rsidRPr="00831E14">
        <w:rPr>
          <w:rFonts w:cs="2  Yekan"/>
          <w:lang w:bidi="fa-IR"/>
        </w:rPr>
        <w:t>At the website, you can:</w:t>
      </w:r>
    </w:p>
    <w:p w14:paraId="6F855B74" w14:textId="77777777" w:rsidR="00F42E33" w:rsidRPr="00831E14" w:rsidRDefault="00F42E33" w:rsidP="00F42E33">
      <w:pPr>
        <w:rPr>
          <w:rFonts w:cs="2  Yekan"/>
          <w:lang w:bidi="fa-IR"/>
        </w:rPr>
      </w:pPr>
      <w:r w:rsidRPr="00831E14">
        <w:rPr>
          <w:rFonts w:cs="2  Yekan"/>
          <w:lang w:bidi="fa-IR"/>
        </w:rPr>
        <w:t>• Access worldwide telephone and fax numbers to contact Technical Support and</w:t>
      </w:r>
      <w:r>
        <w:rPr>
          <w:rFonts w:cs="2  Yekan"/>
          <w:lang w:bidi="fa-IR"/>
        </w:rPr>
        <w:t xml:space="preserve"> </w:t>
      </w:r>
      <w:r w:rsidRPr="00831E14">
        <w:rPr>
          <w:rFonts w:cs="2  Yekan"/>
          <w:lang w:bidi="fa-IR"/>
        </w:rPr>
        <w:t>Sales facilities</w:t>
      </w:r>
    </w:p>
    <w:p w14:paraId="6A1269D9" w14:textId="77777777" w:rsidR="00F42E33" w:rsidRPr="00831E14" w:rsidRDefault="00F42E33" w:rsidP="00F42E33">
      <w:pPr>
        <w:rPr>
          <w:rFonts w:cs="2  Yekan"/>
          <w:lang w:bidi="fa-IR"/>
        </w:rPr>
      </w:pPr>
      <w:r w:rsidRPr="00831E14">
        <w:rPr>
          <w:rFonts w:cs="2  Yekan"/>
          <w:lang w:bidi="fa-IR"/>
        </w:rPr>
        <w:t>• Search through frequently asked questions (FAQs)</w:t>
      </w:r>
    </w:p>
    <w:p w14:paraId="5F739BA6" w14:textId="77777777" w:rsidR="00F42E33" w:rsidRPr="00831E14" w:rsidRDefault="00F42E33" w:rsidP="00F42E33">
      <w:pPr>
        <w:rPr>
          <w:rFonts w:cs="2  Yekan"/>
          <w:lang w:bidi="fa-IR"/>
        </w:rPr>
      </w:pPr>
      <w:r w:rsidRPr="00831E14">
        <w:rPr>
          <w:rFonts w:cs="2  Yekan"/>
          <w:lang w:bidi="fa-IR"/>
        </w:rPr>
        <w:t>• Submit a question directly to Technical Support</w:t>
      </w:r>
    </w:p>
    <w:p w14:paraId="712705C5" w14:textId="77777777" w:rsidR="00F42E33" w:rsidRPr="00831E14" w:rsidRDefault="00F42E33" w:rsidP="00F42E33">
      <w:pPr>
        <w:rPr>
          <w:rFonts w:cs="2  Yekan"/>
          <w:lang w:bidi="fa-IR"/>
        </w:rPr>
      </w:pPr>
      <w:r w:rsidRPr="00831E14">
        <w:rPr>
          <w:rFonts w:cs="2  Yekan"/>
          <w:lang w:bidi="fa-IR"/>
        </w:rPr>
        <w:t>• Search for user documents, SDSs, vector maps and sequences, application notes,</w:t>
      </w:r>
      <w:r>
        <w:rPr>
          <w:rFonts w:cs="2  Yekan"/>
          <w:lang w:bidi="fa-IR"/>
        </w:rPr>
        <w:t xml:space="preserve"> </w:t>
      </w:r>
      <w:r w:rsidRPr="00831E14">
        <w:rPr>
          <w:rFonts w:cs="2  Yekan"/>
          <w:lang w:bidi="fa-IR"/>
        </w:rPr>
        <w:t>formulations, handbooks, certificates of analysis, citations, and other product</w:t>
      </w:r>
      <w:r>
        <w:rPr>
          <w:rFonts w:cs="2  Yekan"/>
          <w:lang w:bidi="fa-IR"/>
        </w:rPr>
        <w:t xml:space="preserve"> </w:t>
      </w:r>
      <w:r w:rsidRPr="00831E14">
        <w:rPr>
          <w:rFonts w:cs="2  Yekan"/>
          <w:lang w:bidi="fa-IR"/>
        </w:rPr>
        <w:t>support documents</w:t>
      </w:r>
    </w:p>
    <w:p w14:paraId="011547F0" w14:textId="77777777" w:rsidR="00F42E33" w:rsidRPr="00831E14" w:rsidRDefault="00F42E33" w:rsidP="00F42E33">
      <w:pPr>
        <w:rPr>
          <w:rFonts w:cs="2  Yekan"/>
          <w:lang w:bidi="fa-IR"/>
        </w:rPr>
      </w:pPr>
      <w:r w:rsidRPr="00831E14">
        <w:rPr>
          <w:rFonts w:cs="2  Yekan"/>
          <w:lang w:bidi="fa-IR"/>
        </w:rPr>
        <w:t>• Obtain information about customer training</w:t>
      </w:r>
    </w:p>
    <w:p w14:paraId="28756EEC" w14:textId="77777777" w:rsidR="00F42E33" w:rsidRDefault="00F42E33" w:rsidP="00F42E33">
      <w:pPr>
        <w:rPr>
          <w:rFonts w:cs="2  Yekan"/>
          <w:rtl/>
          <w:lang w:bidi="fa-IR"/>
        </w:rPr>
      </w:pPr>
      <w:r w:rsidRPr="00831E14">
        <w:rPr>
          <w:rFonts w:cs="2  Yekan"/>
          <w:lang w:bidi="fa-IR"/>
        </w:rPr>
        <w:t>• Download software updates and patches</w:t>
      </w:r>
    </w:p>
    <w:p w14:paraId="3C2D1812" w14:textId="77777777" w:rsidR="00F42E33" w:rsidRDefault="00F42E33" w:rsidP="00F42E33">
      <w:pPr>
        <w:rPr>
          <w:rtl/>
        </w:rPr>
      </w:pPr>
    </w:p>
    <w:p w14:paraId="290142B2" w14:textId="77777777" w:rsidR="00F42E33" w:rsidRDefault="00F42E33" w:rsidP="00F42E33">
      <w:pPr>
        <w:rPr>
          <w:rtl/>
        </w:rPr>
      </w:pPr>
    </w:p>
    <w:p w14:paraId="306861DC" w14:textId="77777777" w:rsidR="00F42E33" w:rsidRPr="00E058B5" w:rsidRDefault="00F42E33" w:rsidP="00F42E33">
      <w:r w:rsidRPr="00E058B5">
        <w:t xml:space="preserve">Contact Us: </w:t>
      </w:r>
    </w:p>
    <w:p w14:paraId="2F7EFB6E" w14:textId="77777777" w:rsidR="00F42E33" w:rsidRPr="00E058B5" w:rsidRDefault="00F42E33" w:rsidP="00F42E33">
      <w:hyperlink r:id="rId6" w:history="1">
        <w:r w:rsidRPr="00E058B5">
          <w:rPr>
            <w:rStyle w:val="Hyperlink"/>
          </w:rPr>
          <w:t>info@denagene.com</w:t>
        </w:r>
      </w:hyperlink>
      <w:r w:rsidRPr="00E058B5">
        <w:t>‌</w:t>
      </w:r>
    </w:p>
    <w:p w14:paraId="498212B6" w14:textId="77777777" w:rsidR="00A8531F" w:rsidRDefault="00A8531F" w:rsidP="006B4FFA">
      <w:pPr>
        <w:jc w:val="both"/>
      </w:pPr>
    </w:p>
    <w:sectPr w:rsidR="00A85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2  Yek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1F"/>
    <w:rsid w:val="000B530D"/>
    <w:rsid w:val="0015000C"/>
    <w:rsid w:val="00153F10"/>
    <w:rsid w:val="001E4FE1"/>
    <w:rsid w:val="00317C6D"/>
    <w:rsid w:val="00324509"/>
    <w:rsid w:val="00366C87"/>
    <w:rsid w:val="005102B0"/>
    <w:rsid w:val="00573B38"/>
    <w:rsid w:val="005B52FE"/>
    <w:rsid w:val="006B4FFA"/>
    <w:rsid w:val="0080695F"/>
    <w:rsid w:val="00806DB3"/>
    <w:rsid w:val="00813E38"/>
    <w:rsid w:val="008C3591"/>
    <w:rsid w:val="008D40D5"/>
    <w:rsid w:val="009F6F0F"/>
    <w:rsid w:val="00A2389E"/>
    <w:rsid w:val="00A8531F"/>
    <w:rsid w:val="00B16916"/>
    <w:rsid w:val="00B655F1"/>
    <w:rsid w:val="00BE3BFD"/>
    <w:rsid w:val="00CB6DCC"/>
    <w:rsid w:val="00D401F9"/>
    <w:rsid w:val="00D56363"/>
    <w:rsid w:val="00D8699E"/>
    <w:rsid w:val="00DB7309"/>
    <w:rsid w:val="00E61C99"/>
    <w:rsid w:val="00ED71BC"/>
    <w:rsid w:val="00F42E33"/>
    <w:rsid w:val="00F65107"/>
    <w:rsid w:val="00F72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DEBC0"/>
  <w15:chartTrackingRefBased/>
  <w15:docId w15:val="{A7AC4F0D-EBB0-4783-B4CD-731643A0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E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enagene.com" TargetMode="External"/><Relationship Id="rId5" Type="http://schemas.openxmlformats.org/officeDocument/2006/relationships/hyperlink" Target="http://www.Denagen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774</Words>
  <Characters>4480</Characters>
  <Application>Microsoft Office Word</Application>
  <DocSecurity>0</DocSecurity>
  <Lines>235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Rpipc</dc:creator>
  <cp:keywords/>
  <dc:description/>
  <cp:lastModifiedBy>Erma 5</cp:lastModifiedBy>
  <cp:revision>24</cp:revision>
  <dcterms:created xsi:type="dcterms:W3CDTF">2024-02-25T17:53:00Z</dcterms:created>
  <dcterms:modified xsi:type="dcterms:W3CDTF">2024-08-05T12:17:00Z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aef3a119f0d50eb274611ce3cd6eecc46e66b572dcf18ce30a38b98e4e5eeec0</vt:lpwstr>
  </property>
</Properties>
</file>